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B9D" w:rsidRDefault="006F7B9D">
      <w:pPr>
        <w:tabs>
          <w:tab w:val="right" w:pos="9026"/>
        </w:tabs>
        <w:suppressAutoHyphens/>
        <w:rPr>
          <w:rFonts w:ascii="Arial" w:hAnsi="Arial" w:cs="Arial"/>
          <w:spacing w:val="-2"/>
          <w:sz w:val="22"/>
        </w:rPr>
      </w:pPr>
      <w:r>
        <w:rPr>
          <w:rFonts w:ascii="Arial" w:hAnsi="Arial" w:cs="Arial"/>
          <w:spacing w:val="-2"/>
          <w:sz w:val="22"/>
          <w:vertAlign w:val="superscript"/>
        </w:rPr>
        <w:tab/>
      </w:r>
    </w:p>
    <w:tbl>
      <w:tblPr>
        <w:tblW w:w="0" w:type="auto"/>
        <w:tblInd w:w="198" w:type="dxa"/>
        <w:tblBorders>
          <w:top w:val="double" w:sz="6" w:space="0" w:color="auto"/>
          <w:left w:val="double" w:sz="6" w:space="0" w:color="auto"/>
          <w:bottom w:val="double" w:sz="6" w:space="0" w:color="auto"/>
          <w:right w:val="double" w:sz="6" w:space="0" w:color="auto"/>
        </w:tblBorders>
        <w:tblLayout w:type="fixed"/>
        <w:tblLook w:val="0000"/>
      </w:tblPr>
      <w:tblGrid>
        <w:gridCol w:w="2790"/>
      </w:tblGrid>
      <w:tr w:rsidR="006F7B9D">
        <w:tblPrEx>
          <w:tblCellMar>
            <w:top w:w="0" w:type="dxa"/>
            <w:bottom w:w="0" w:type="dxa"/>
          </w:tblCellMar>
        </w:tblPrEx>
        <w:tc>
          <w:tcPr>
            <w:tcW w:w="2790" w:type="dxa"/>
          </w:tcPr>
          <w:p w:rsidR="006F7B9D" w:rsidRDefault="00740B8A" w:rsidP="00500EEC">
            <w:pPr>
              <w:tabs>
                <w:tab w:val="left" w:pos="-720"/>
              </w:tabs>
              <w:suppressAutoHyphens/>
              <w:rPr>
                <w:rFonts w:ascii="Arial" w:hAnsi="Arial" w:cs="Arial"/>
                <w:spacing w:val="-2"/>
                <w:sz w:val="22"/>
              </w:rPr>
            </w:pPr>
            <w:r>
              <w:rPr>
                <w:rFonts w:ascii="Arial" w:hAnsi="Arial" w:cs="Arial"/>
                <w:b/>
                <w:spacing w:val="-2"/>
                <w:sz w:val="22"/>
              </w:rPr>
              <w:t>NOTICE NO. 1</w:t>
            </w:r>
            <w:r w:rsidR="00500EEC">
              <w:rPr>
                <w:rFonts w:ascii="Arial" w:hAnsi="Arial" w:cs="Arial"/>
                <w:b/>
                <w:spacing w:val="-2"/>
                <w:sz w:val="22"/>
              </w:rPr>
              <w:t>3</w:t>
            </w:r>
            <w:r w:rsidR="006F7B9D">
              <w:rPr>
                <w:rFonts w:ascii="Arial" w:hAnsi="Arial" w:cs="Arial"/>
                <w:b/>
                <w:spacing w:val="-2"/>
                <w:sz w:val="22"/>
              </w:rPr>
              <w:t>/0</w:t>
            </w:r>
            <w:r w:rsidR="009729F2">
              <w:rPr>
                <w:rFonts w:ascii="Arial" w:hAnsi="Arial" w:cs="Arial"/>
                <w:b/>
                <w:spacing w:val="-2"/>
                <w:sz w:val="22"/>
              </w:rPr>
              <w:t>2</w:t>
            </w:r>
          </w:p>
        </w:tc>
      </w:tr>
    </w:tbl>
    <w:p w:rsidR="006F7B9D" w:rsidRDefault="006F7B9D">
      <w:pPr>
        <w:rPr>
          <w:rFonts w:ascii="Arial" w:hAnsi="Arial" w:cs="Arial"/>
          <w:sz w:val="22"/>
        </w:rPr>
      </w:pPr>
    </w:p>
    <w:p w:rsidR="009729F2" w:rsidRDefault="009729F2">
      <w:pPr>
        <w:rPr>
          <w:rFonts w:ascii="Arial" w:hAnsi="Arial" w:cs="Arial"/>
          <w:sz w:val="22"/>
        </w:rPr>
      </w:pPr>
    </w:p>
    <w:p w:rsidR="006F7B9D" w:rsidRDefault="006F7B9D">
      <w:pPr>
        <w:pStyle w:val="Heading1"/>
        <w:rPr>
          <w:rFonts w:cs="Arial"/>
          <w:sz w:val="22"/>
        </w:rPr>
      </w:pPr>
      <w:r>
        <w:rPr>
          <w:rFonts w:cs="Arial"/>
          <w:sz w:val="22"/>
        </w:rPr>
        <w:t>M I L K   Q U O T A   S Y S T E M</w:t>
      </w:r>
    </w:p>
    <w:p w:rsidR="006F7B9D" w:rsidRDefault="006F7B9D">
      <w:pPr>
        <w:tabs>
          <w:tab w:val="left" w:pos="-720"/>
        </w:tabs>
        <w:suppressAutoHyphens/>
        <w:rPr>
          <w:rFonts w:ascii="Arial" w:hAnsi="Arial" w:cs="Arial"/>
          <w:spacing w:val="-2"/>
          <w:sz w:val="22"/>
        </w:rPr>
      </w:pPr>
    </w:p>
    <w:p w:rsidR="00997973" w:rsidRDefault="00997973" w:rsidP="00997973">
      <w:pPr>
        <w:tabs>
          <w:tab w:val="left" w:pos="-720"/>
        </w:tabs>
        <w:suppressAutoHyphens/>
        <w:rPr>
          <w:rFonts w:ascii="Arial" w:hAnsi="Arial" w:cs="Arial"/>
          <w:spacing w:val="-2"/>
          <w:sz w:val="22"/>
        </w:rPr>
      </w:pPr>
    </w:p>
    <w:p w:rsidR="00997973" w:rsidRDefault="00997973" w:rsidP="00997973">
      <w:pPr>
        <w:pStyle w:val="Heading4"/>
        <w:jc w:val="center"/>
        <w:rPr>
          <w:rFonts w:cs="Arial"/>
          <w:sz w:val="22"/>
        </w:rPr>
      </w:pPr>
      <w:r>
        <w:rPr>
          <w:rFonts w:cs="Arial"/>
          <w:sz w:val="22"/>
        </w:rPr>
        <w:t>CHANGES TO THE RULES FOR THE REDISTRIBUTION OF UNUSED MILK QUOTA FOR THE 2013/2014 AND 2014/2015 QUOTA YEARS</w:t>
      </w:r>
    </w:p>
    <w:p w:rsidR="00997973" w:rsidRDefault="00997973" w:rsidP="00997973">
      <w:pPr>
        <w:tabs>
          <w:tab w:val="left" w:pos="-720"/>
        </w:tabs>
        <w:suppressAutoHyphens/>
        <w:rPr>
          <w:rFonts w:ascii="Arial" w:hAnsi="Arial" w:cs="Arial"/>
          <w:spacing w:val="-2"/>
          <w:sz w:val="22"/>
        </w:rPr>
      </w:pPr>
    </w:p>
    <w:p w:rsidR="00997973" w:rsidRDefault="00997973" w:rsidP="00997973">
      <w:pPr>
        <w:tabs>
          <w:tab w:val="left" w:pos="-720"/>
        </w:tabs>
        <w:suppressAutoHyphens/>
        <w:rPr>
          <w:rFonts w:ascii="Arial" w:hAnsi="Arial" w:cs="Arial"/>
          <w:sz w:val="22"/>
        </w:rPr>
      </w:pPr>
      <w:r>
        <w:rPr>
          <w:rFonts w:ascii="Arial" w:hAnsi="Arial" w:cs="Arial"/>
          <w:sz w:val="22"/>
        </w:rPr>
        <w:t>The Department of Agriculture, Food and the Marine wishes to notify Milk Purchasers and milk producers of changes to the rules for the redistribution of unused quota which will take effect for the 2013/2014 and the 2014/2015 milk quota years.</w:t>
      </w:r>
    </w:p>
    <w:p w:rsidR="00997973" w:rsidRDefault="00997973" w:rsidP="00997973">
      <w:pPr>
        <w:tabs>
          <w:tab w:val="left" w:pos="-720"/>
        </w:tabs>
        <w:suppressAutoHyphens/>
        <w:rPr>
          <w:rFonts w:ascii="Arial" w:hAnsi="Arial" w:cs="Arial"/>
          <w:sz w:val="22"/>
        </w:rPr>
      </w:pPr>
    </w:p>
    <w:p w:rsidR="00997973" w:rsidRDefault="00997973" w:rsidP="00997973">
      <w:pPr>
        <w:tabs>
          <w:tab w:val="left" w:pos="-720"/>
        </w:tabs>
        <w:suppressAutoHyphens/>
        <w:rPr>
          <w:rFonts w:ascii="Arial" w:hAnsi="Arial" w:cs="Arial"/>
          <w:bCs/>
          <w:spacing w:val="-2"/>
          <w:sz w:val="22"/>
        </w:rPr>
      </w:pPr>
      <w:r>
        <w:rPr>
          <w:rFonts w:ascii="Arial" w:hAnsi="Arial" w:cs="Arial"/>
          <w:sz w:val="22"/>
        </w:rPr>
        <w:t>For the 2013/2014 milk quota year, the quantity of the unused</w:t>
      </w:r>
      <w:r w:rsidR="00D343F9">
        <w:rPr>
          <w:rFonts w:ascii="Arial" w:hAnsi="Arial" w:cs="Arial"/>
          <w:sz w:val="22"/>
        </w:rPr>
        <w:t xml:space="preserve"> </w:t>
      </w:r>
      <w:r>
        <w:rPr>
          <w:rFonts w:ascii="Arial" w:hAnsi="Arial" w:cs="Arial"/>
          <w:sz w:val="22"/>
        </w:rPr>
        <w:t xml:space="preserve">quota pool to each category of producer will be as follows: </w:t>
      </w:r>
    </w:p>
    <w:p w:rsidR="00997973" w:rsidRDefault="00997973" w:rsidP="00997973">
      <w:pPr>
        <w:tabs>
          <w:tab w:val="left" w:pos="-720"/>
        </w:tabs>
        <w:suppressAutoHyphens/>
        <w:ind w:left="720" w:hanging="720"/>
        <w:rPr>
          <w:rFonts w:ascii="Arial" w:hAnsi="Arial" w:cs="Arial"/>
          <w:bCs/>
          <w:spacing w:val="-2"/>
          <w:sz w:val="22"/>
        </w:rPr>
      </w:pPr>
    </w:p>
    <w:tbl>
      <w:tblPr>
        <w:tblW w:w="8730" w:type="dxa"/>
        <w:tblInd w:w="82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260"/>
        <w:gridCol w:w="5391"/>
        <w:gridCol w:w="2079"/>
      </w:tblGrid>
      <w:tr w:rsidR="00997973" w:rsidTr="002F6A31">
        <w:tc>
          <w:tcPr>
            <w:tcW w:w="1260" w:type="dxa"/>
            <w:vAlign w:val="center"/>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Category of Producer</w:t>
            </w:r>
          </w:p>
        </w:tc>
        <w:tc>
          <w:tcPr>
            <w:tcW w:w="5391" w:type="dxa"/>
            <w:vAlign w:val="center"/>
          </w:tcPr>
          <w:p w:rsidR="00997973" w:rsidRDefault="00997973" w:rsidP="002F6A31">
            <w:pPr>
              <w:tabs>
                <w:tab w:val="left" w:pos="-720"/>
              </w:tabs>
              <w:suppressAutoHyphens/>
              <w:jc w:val="center"/>
              <w:rPr>
                <w:rFonts w:ascii="Arial" w:hAnsi="Arial" w:cs="Arial"/>
                <w:b/>
                <w:spacing w:val="-2"/>
                <w:sz w:val="22"/>
              </w:rPr>
            </w:pPr>
            <w:r>
              <w:rPr>
                <w:rFonts w:ascii="Arial" w:hAnsi="Arial" w:cs="Arial"/>
                <w:b/>
                <w:spacing w:val="-2"/>
                <w:sz w:val="22"/>
              </w:rPr>
              <w:t xml:space="preserve">Description of Category </w:t>
            </w:r>
          </w:p>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(effective for the 2013/2014 quota year)</w:t>
            </w:r>
          </w:p>
        </w:tc>
        <w:tc>
          <w:tcPr>
            <w:tcW w:w="2079" w:type="dxa"/>
            <w:vAlign w:val="center"/>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Quantity of the unused quota pool to category</w:t>
            </w:r>
          </w:p>
        </w:tc>
      </w:tr>
      <w:tr w:rsidR="00997973" w:rsidTr="002F6A31">
        <w:tc>
          <w:tcPr>
            <w:tcW w:w="1260" w:type="dxa"/>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I</w:t>
            </w:r>
          </w:p>
        </w:tc>
        <w:tc>
          <w:tcPr>
            <w:tcW w:w="5391" w:type="dxa"/>
          </w:tcPr>
          <w:p w:rsidR="00997973" w:rsidRDefault="00997973" w:rsidP="002F6A31">
            <w:pPr>
              <w:tabs>
                <w:tab w:val="left" w:pos="-720"/>
              </w:tabs>
              <w:suppressAutoHyphens/>
              <w:rPr>
                <w:rFonts w:ascii="Arial" w:hAnsi="Arial" w:cs="Arial"/>
                <w:b/>
                <w:bCs/>
                <w:spacing w:val="-2"/>
                <w:sz w:val="22"/>
              </w:rPr>
            </w:pPr>
            <w:r>
              <w:rPr>
                <w:rFonts w:ascii="Arial" w:hAnsi="Arial" w:cs="Arial"/>
                <w:spacing w:val="-2"/>
                <w:sz w:val="22"/>
              </w:rPr>
              <w:t xml:space="preserve">Producers with quota of less </w:t>
            </w:r>
            <w:r>
              <w:rPr>
                <w:rFonts w:ascii="Arial" w:hAnsi="Arial" w:cs="Arial"/>
                <w:b/>
                <w:bCs/>
                <w:spacing w:val="-2"/>
                <w:sz w:val="22"/>
              </w:rPr>
              <w:t>than 350,000 litres</w:t>
            </w:r>
          </w:p>
          <w:p w:rsidR="00997973" w:rsidRDefault="00997973" w:rsidP="002F6A31">
            <w:pPr>
              <w:pStyle w:val="EndnoteText"/>
              <w:tabs>
                <w:tab w:val="left" w:pos="-720"/>
              </w:tabs>
              <w:suppressAutoHyphens/>
              <w:rPr>
                <w:rFonts w:ascii="Arial" w:hAnsi="Arial" w:cs="Arial"/>
                <w:spacing w:val="-2"/>
                <w:sz w:val="22"/>
              </w:rPr>
            </w:pPr>
          </w:p>
        </w:tc>
        <w:tc>
          <w:tcPr>
            <w:tcW w:w="2079" w:type="dxa"/>
            <w:vAlign w:val="center"/>
          </w:tcPr>
          <w:p w:rsidR="00997973" w:rsidRDefault="00997973" w:rsidP="002F6A31">
            <w:pPr>
              <w:tabs>
                <w:tab w:val="left" w:pos="-720"/>
              </w:tabs>
              <w:suppressAutoHyphens/>
              <w:jc w:val="center"/>
              <w:rPr>
                <w:rFonts w:ascii="Arial" w:hAnsi="Arial" w:cs="Arial"/>
                <w:b/>
                <w:spacing w:val="-2"/>
                <w:sz w:val="22"/>
              </w:rPr>
            </w:pPr>
            <w:r>
              <w:rPr>
                <w:rFonts w:ascii="Arial" w:hAnsi="Arial" w:cs="Arial"/>
                <w:b/>
                <w:spacing w:val="-2"/>
                <w:sz w:val="22"/>
              </w:rPr>
              <w:t>85%</w:t>
            </w:r>
          </w:p>
        </w:tc>
      </w:tr>
      <w:tr w:rsidR="00997973" w:rsidTr="002F6A31">
        <w:tc>
          <w:tcPr>
            <w:tcW w:w="1260" w:type="dxa"/>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II</w:t>
            </w:r>
          </w:p>
        </w:tc>
        <w:tc>
          <w:tcPr>
            <w:tcW w:w="5391" w:type="dxa"/>
          </w:tcPr>
          <w:p w:rsidR="00997973" w:rsidRDefault="00997973" w:rsidP="002F6A31">
            <w:pPr>
              <w:tabs>
                <w:tab w:val="left" w:pos="-720"/>
              </w:tabs>
              <w:suppressAutoHyphens/>
              <w:rPr>
                <w:rFonts w:ascii="Arial" w:hAnsi="Arial" w:cs="Arial"/>
                <w:b/>
                <w:bCs/>
                <w:spacing w:val="-2"/>
                <w:sz w:val="22"/>
              </w:rPr>
            </w:pPr>
            <w:r>
              <w:rPr>
                <w:rFonts w:ascii="Arial" w:hAnsi="Arial" w:cs="Arial"/>
                <w:spacing w:val="-2"/>
                <w:sz w:val="22"/>
              </w:rPr>
              <w:t xml:space="preserve">Producers with a quota of </w:t>
            </w:r>
            <w:r>
              <w:rPr>
                <w:rFonts w:ascii="Arial" w:hAnsi="Arial" w:cs="Arial"/>
                <w:b/>
                <w:bCs/>
                <w:spacing w:val="-2"/>
                <w:sz w:val="22"/>
              </w:rPr>
              <w:t xml:space="preserve">over 350,000 litres </w:t>
            </w:r>
          </w:p>
          <w:p w:rsidR="00997973" w:rsidRDefault="00997973" w:rsidP="002F6A31">
            <w:pPr>
              <w:tabs>
                <w:tab w:val="left" w:pos="-720"/>
              </w:tabs>
              <w:suppressAutoHyphens/>
              <w:rPr>
                <w:rFonts w:ascii="Arial" w:hAnsi="Arial" w:cs="Arial"/>
                <w:spacing w:val="-2"/>
                <w:sz w:val="22"/>
              </w:rPr>
            </w:pPr>
          </w:p>
        </w:tc>
        <w:tc>
          <w:tcPr>
            <w:tcW w:w="2079" w:type="dxa"/>
            <w:vAlign w:val="center"/>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15%</w:t>
            </w:r>
          </w:p>
        </w:tc>
      </w:tr>
    </w:tbl>
    <w:p w:rsidR="00997973" w:rsidRDefault="00997973" w:rsidP="00997973">
      <w:pPr>
        <w:pStyle w:val="BodyTextIndent2"/>
        <w:rPr>
          <w:bCs/>
          <w:sz w:val="22"/>
        </w:rPr>
      </w:pPr>
      <w:r>
        <w:rPr>
          <w:bCs/>
          <w:sz w:val="22"/>
        </w:rPr>
        <w:t xml:space="preserve"> </w:t>
      </w:r>
    </w:p>
    <w:p w:rsidR="00997973" w:rsidRDefault="00997973" w:rsidP="00997973">
      <w:pPr>
        <w:pStyle w:val="BodyTextIndent2"/>
        <w:ind w:left="0"/>
        <w:rPr>
          <w:sz w:val="22"/>
        </w:rPr>
      </w:pPr>
    </w:p>
    <w:p w:rsidR="00997973" w:rsidRDefault="00997973" w:rsidP="00997973">
      <w:pPr>
        <w:pStyle w:val="BodyTextIndent2"/>
        <w:ind w:left="0"/>
        <w:rPr>
          <w:sz w:val="22"/>
        </w:rPr>
      </w:pPr>
      <w:r>
        <w:rPr>
          <w:sz w:val="22"/>
        </w:rPr>
        <w:t>There will be a further change for the 2014/2015 milk quota year where the quantity of the unused pool to each category of producer will be:</w:t>
      </w:r>
    </w:p>
    <w:p w:rsidR="00997973" w:rsidRDefault="00997973" w:rsidP="00997973">
      <w:pPr>
        <w:pStyle w:val="BodyTextIndent2"/>
        <w:ind w:left="0"/>
        <w:rPr>
          <w:sz w:val="22"/>
        </w:rPr>
      </w:pPr>
    </w:p>
    <w:tbl>
      <w:tblPr>
        <w:tblW w:w="8730" w:type="dxa"/>
        <w:tblInd w:w="82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1260"/>
        <w:gridCol w:w="5391"/>
        <w:gridCol w:w="2079"/>
      </w:tblGrid>
      <w:tr w:rsidR="00997973" w:rsidTr="002F6A31">
        <w:tc>
          <w:tcPr>
            <w:tcW w:w="1260" w:type="dxa"/>
            <w:vAlign w:val="center"/>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Category of Producer</w:t>
            </w:r>
          </w:p>
        </w:tc>
        <w:tc>
          <w:tcPr>
            <w:tcW w:w="5391" w:type="dxa"/>
            <w:vAlign w:val="center"/>
          </w:tcPr>
          <w:p w:rsidR="00997973" w:rsidRDefault="00997973" w:rsidP="002F6A31">
            <w:pPr>
              <w:tabs>
                <w:tab w:val="left" w:pos="-720"/>
              </w:tabs>
              <w:suppressAutoHyphens/>
              <w:jc w:val="center"/>
              <w:rPr>
                <w:rFonts w:ascii="Arial" w:hAnsi="Arial" w:cs="Arial"/>
                <w:b/>
                <w:spacing w:val="-2"/>
                <w:sz w:val="22"/>
              </w:rPr>
            </w:pPr>
            <w:r>
              <w:rPr>
                <w:rFonts w:ascii="Arial" w:hAnsi="Arial" w:cs="Arial"/>
                <w:b/>
                <w:spacing w:val="-2"/>
                <w:sz w:val="22"/>
              </w:rPr>
              <w:t xml:space="preserve">Description of Category </w:t>
            </w:r>
          </w:p>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(effective for the 2014/2015 quota year)</w:t>
            </w:r>
          </w:p>
        </w:tc>
        <w:tc>
          <w:tcPr>
            <w:tcW w:w="2079" w:type="dxa"/>
            <w:vAlign w:val="center"/>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Quantity of the unused quota pool to category</w:t>
            </w:r>
          </w:p>
        </w:tc>
      </w:tr>
      <w:tr w:rsidR="00997973" w:rsidTr="002F6A31">
        <w:tc>
          <w:tcPr>
            <w:tcW w:w="1260" w:type="dxa"/>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I</w:t>
            </w:r>
          </w:p>
        </w:tc>
        <w:tc>
          <w:tcPr>
            <w:tcW w:w="5391" w:type="dxa"/>
          </w:tcPr>
          <w:p w:rsidR="00997973" w:rsidRDefault="00997973" w:rsidP="002F6A31">
            <w:pPr>
              <w:tabs>
                <w:tab w:val="left" w:pos="-720"/>
              </w:tabs>
              <w:suppressAutoHyphens/>
              <w:rPr>
                <w:rFonts w:ascii="Arial" w:hAnsi="Arial" w:cs="Arial"/>
                <w:b/>
                <w:bCs/>
                <w:spacing w:val="-2"/>
                <w:sz w:val="22"/>
              </w:rPr>
            </w:pPr>
            <w:r>
              <w:rPr>
                <w:rFonts w:ascii="Arial" w:hAnsi="Arial" w:cs="Arial"/>
                <w:spacing w:val="-2"/>
                <w:sz w:val="22"/>
              </w:rPr>
              <w:t xml:space="preserve">Producers with quota of less </w:t>
            </w:r>
            <w:r>
              <w:rPr>
                <w:rFonts w:ascii="Arial" w:hAnsi="Arial" w:cs="Arial"/>
                <w:b/>
                <w:bCs/>
                <w:spacing w:val="-2"/>
                <w:sz w:val="22"/>
              </w:rPr>
              <w:t>than 350,000 litres</w:t>
            </w:r>
          </w:p>
          <w:p w:rsidR="00997973" w:rsidRDefault="00997973" w:rsidP="002F6A31">
            <w:pPr>
              <w:pStyle w:val="EndnoteText"/>
              <w:tabs>
                <w:tab w:val="left" w:pos="-720"/>
              </w:tabs>
              <w:suppressAutoHyphens/>
              <w:rPr>
                <w:rFonts w:ascii="Arial" w:hAnsi="Arial" w:cs="Arial"/>
                <w:spacing w:val="-2"/>
                <w:sz w:val="22"/>
              </w:rPr>
            </w:pPr>
          </w:p>
        </w:tc>
        <w:tc>
          <w:tcPr>
            <w:tcW w:w="2079" w:type="dxa"/>
            <w:vAlign w:val="center"/>
          </w:tcPr>
          <w:p w:rsidR="00997973" w:rsidRDefault="00997973" w:rsidP="002F6A31">
            <w:pPr>
              <w:tabs>
                <w:tab w:val="left" w:pos="-720"/>
              </w:tabs>
              <w:suppressAutoHyphens/>
              <w:jc w:val="center"/>
              <w:rPr>
                <w:rFonts w:ascii="Arial" w:hAnsi="Arial" w:cs="Arial"/>
                <w:b/>
                <w:spacing w:val="-2"/>
                <w:sz w:val="22"/>
              </w:rPr>
            </w:pPr>
            <w:r>
              <w:rPr>
                <w:rFonts w:ascii="Arial" w:hAnsi="Arial" w:cs="Arial"/>
                <w:b/>
                <w:spacing w:val="-2"/>
                <w:sz w:val="22"/>
              </w:rPr>
              <w:t>80%</w:t>
            </w:r>
          </w:p>
        </w:tc>
      </w:tr>
      <w:tr w:rsidR="00997973" w:rsidTr="002F6A31">
        <w:tc>
          <w:tcPr>
            <w:tcW w:w="1260" w:type="dxa"/>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II</w:t>
            </w:r>
          </w:p>
        </w:tc>
        <w:tc>
          <w:tcPr>
            <w:tcW w:w="5391" w:type="dxa"/>
          </w:tcPr>
          <w:p w:rsidR="00997973" w:rsidRDefault="00997973" w:rsidP="002F6A31">
            <w:pPr>
              <w:tabs>
                <w:tab w:val="left" w:pos="-720"/>
              </w:tabs>
              <w:suppressAutoHyphens/>
              <w:rPr>
                <w:rFonts w:ascii="Arial" w:hAnsi="Arial" w:cs="Arial"/>
                <w:b/>
                <w:bCs/>
                <w:spacing w:val="-2"/>
                <w:sz w:val="22"/>
              </w:rPr>
            </w:pPr>
            <w:r>
              <w:rPr>
                <w:rFonts w:ascii="Arial" w:hAnsi="Arial" w:cs="Arial"/>
                <w:spacing w:val="-2"/>
                <w:sz w:val="22"/>
              </w:rPr>
              <w:t xml:space="preserve">Producers with a quota of </w:t>
            </w:r>
            <w:r>
              <w:rPr>
                <w:rFonts w:ascii="Arial" w:hAnsi="Arial" w:cs="Arial"/>
                <w:b/>
                <w:bCs/>
                <w:spacing w:val="-2"/>
                <w:sz w:val="22"/>
              </w:rPr>
              <w:t xml:space="preserve">over 350,000 litres </w:t>
            </w:r>
          </w:p>
          <w:p w:rsidR="00997973" w:rsidRDefault="00997973" w:rsidP="002F6A31">
            <w:pPr>
              <w:tabs>
                <w:tab w:val="left" w:pos="-720"/>
              </w:tabs>
              <w:suppressAutoHyphens/>
              <w:rPr>
                <w:rFonts w:ascii="Arial" w:hAnsi="Arial" w:cs="Arial"/>
                <w:spacing w:val="-2"/>
                <w:sz w:val="22"/>
              </w:rPr>
            </w:pPr>
          </w:p>
        </w:tc>
        <w:tc>
          <w:tcPr>
            <w:tcW w:w="2079" w:type="dxa"/>
            <w:vAlign w:val="center"/>
          </w:tcPr>
          <w:p w:rsidR="00997973" w:rsidRDefault="00997973" w:rsidP="002F6A31">
            <w:pPr>
              <w:tabs>
                <w:tab w:val="left" w:pos="-720"/>
              </w:tabs>
              <w:suppressAutoHyphens/>
              <w:jc w:val="center"/>
              <w:rPr>
                <w:rFonts w:ascii="Arial" w:hAnsi="Arial" w:cs="Arial"/>
                <w:spacing w:val="-2"/>
                <w:sz w:val="22"/>
              </w:rPr>
            </w:pPr>
            <w:r>
              <w:rPr>
                <w:rFonts w:ascii="Arial" w:hAnsi="Arial" w:cs="Arial"/>
                <w:b/>
                <w:spacing w:val="-2"/>
                <w:sz w:val="22"/>
              </w:rPr>
              <w:t>20%</w:t>
            </w:r>
          </w:p>
        </w:tc>
      </w:tr>
    </w:tbl>
    <w:p w:rsidR="00997973" w:rsidRDefault="00997973" w:rsidP="00997973">
      <w:pPr>
        <w:pStyle w:val="BodyTextIndent2"/>
        <w:ind w:left="0"/>
        <w:rPr>
          <w:sz w:val="22"/>
        </w:rPr>
      </w:pPr>
    </w:p>
    <w:p w:rsidR="00997973" w:rsidRDefault="00997973" w:rsidP="00997973">
      <w:pPr>
        <w:pStyle w:val="BodyTextIndent2"/>
        <w:ind w:left="0"/>
        <w:rPr>
          <w:sz w:val="22"/>
        </w:rPr>
      </w:pPr>
    </w:p>
    <w:p w:rsidR="00997973" w:rsidRPr="009D3DC1" w:rsidRDefault="00997973" w:rsidP="00997973">
      <w:pPr>
        <w:rPr>
          <w:rFonts w:ascii="Arial" w:hAnsi="Arial" w:cs="Arial"/>
          <w:sz w:val="22"/>
          <w:szCs w:val="22"/>
        </w:rPr>
      </w:pPr>
      <w:r w:rsidRPr="009D3DC1">
        <w:rPr>
          <w:rFonts w:ascii="Arial" w:hAnsi="Arial" w:cs="Arial"/>
          <w:sz w:val="22"/>
          <w:szCs w:val="22"/>
        </w:rPr>
        <w:t xml:space="preserve">These changes are to more accurately reflect the breakdown of milk producers in accordance with the quota held by them and are being introduced following discussions between the Department and the Milk Quota Review </w:t>
      </w:r>
      <w:r>
        <w:rPr>
          <w:rFonts w:ascii="Arial" w:hAnsi="Arial" w:cs="Arial"/>
          <w:sz w:val="22"/>
          <w:szCs w:val="22"/>
        </w:rPr>
        <w:t>G</w:t>
      </w:r>
      <w:r w:rsidRPr="009D3DC1">
        <w:rPr>
          <w:rFonts w:ascii="Arial" w:hAnsi="Arial" w:cs="Arial"/>
          <w:sz w:val="22"/>
          <w:szCs w:val="22"/>
        </w:rPr>
        <w:t>roup.</w:t>
      </w:r>
    </w:p>
    <w:p w:rsidR="00997973" w:rsidRDefault="00997973" w:rsidP="00997973">
      <w:pPr>
        <w:tabs>
          <w:tab w:val="left" w:pos="-720"/>
        </w:tabs>
        <w:suppressAutoHyphens/>
        <w:rPr>
          <w:rFonts w:ascii="Arial" w:hAnsi="Arial" w:cs="Arial"/>
          <w:spacing w:val="-2"/>
          <w:sz w:val="22"/>
        </w:rPr>
      </w:pPr>
    </w:p>
    <w:p w:rsidR="00997973" w:rsidRDefault="00997973" w:rsidP="00997973">
      <w:pPr>
        <w:tabs>
          <w:tab w:val="left" w:pos="-720"/>
        </w:tabs>
        <w:suppressAutoHyphens/>
        <w:rPr>
          <w:rFonts w:ascii="Arial" w:hAnsi="Arial" w:cs="Arial"/>
          <w:spacing w:val="-2"/>
          <w:sz w:val="22"/>
        </w:rPr>
      </w:pPr>
      <w:r>
        <w:rPr>
          <w:rFonts w:ascii="Arial" w:hAnsi="Arial" w:cs="Arial"/>
          <w:spacing w:val="-2"/>
          <w:sz w:val="22"/>
        </w:rPr>
        <w:t>DEPARTMENT OF AGRICULTURE, FOOD and the MARINE</w:t>
      </w:r>
    </w:p>
    <w:p w:rsidR="00997973" w:rsidRDefault="005111F8" w:rsidP="00997973">
      <w:pPr>
        <w:tabs>
          <w:tab w:val="left" w:pos="-720"/>
        </w:tabs>
        <w:suppressAutoHyphens/>
        <w:rPr>
          <w:rFonts w:ascii="Arial" w:hAnsi="Arial" w:cs="Arial"/>
          <w:sz w:val="22"/>
        </w:rPr>
      </w:pPr>
      <w:r>
        <w:rPr>
          <w:rFonts w:ascii="Arial" w:hAnsi="Arial" w:cs="Arial"/>
          <w:sz w:val="22"/>
        </w:rPr>
        <w:t>29</w:t>
      </w:r>
      <w:r w:rsidRPr="005111F8">
        <w:rPr>
          <w:rFonts w:ascii="Arial" w:hAnsi="Arial" w:cs="Arial"/>
          <w:sz w:val="22"/>
          <w:vertAlign w:val="superscript"/>
        </w:rPr>
        <w:t>th</w:t>
      </w:r>
      <w:r>
        <w:rPr>
          <w:rFonts w:ascii="Arial" w:hAnsi="Arial" w:cs="Arial"/>
          <w:sz w:val="22"/>
        </w:rPr>
        <w:t xml:space="preserve"> </w:t>
      </w:r>
      <w:r w:rsidR="00997973">
        <w:rPr>
          <w:rFonts w:ascii="Arial" w:hAnsi="Arial" w:cs="Arial"/>
          <w:sz w:val="22"/>
        </w:rPr>
        <w:t>January, 2013</w:t>
      </w:r>
    </w:p>
    <w:p w:rsidR="00997973" w:rsidRDefault="00997973" w:rsidP="00997973">
      <w:pPr>
        <w:tabs>
          <w:tab w:val="left" w:pos="-720"/>
        </w:tabs>
        <w:suppressAutoHyphens/>
        <w:rPr>
          <w:rFonts w:ascii="Arial" w:hAnsi="Arial" w:cs="Arial"/>
          <w:sz w:val="22"/>
        </w:rPr>
      </w:pPr>
    </w:p>
    <w:p w:rsidR="00997973" w:rsidRDefault="00997973" w:rsidP="00997973">
      <w:pPr>
        <w:tabs>
          <w:tab w:val="left" w:pos="-720"/>
        </w:tabs>
        <w:suppressAutoHyphens/>
        <w:rPr>
          <w:rFonts w:ascii="Arial" w:hAnsi="Arial" w:cs="Arial"/>
          <w:sz w:val="22"/>
        </w:rPr>
      </w:pPr>
    </w:p>
    <w:p w:rsidR="00997973" w:rsidRDefault="00997973">
      <w:pPr>
        <w:tabs>
          <w:tab w:val="left" w:pos="-720"/>
        </w:tabs>
        <w:suppressAutoHyphens/>
        <w:rPr>
          <w:rFonts w:ascii="Arial" w:hAnsi="Arial" w:cs="Arial"/>
          <w:spacing w:val="-2"/>
          <w:sz w:val="22"/>
        </w:rPr>
      </w:pPr>
    </w:p>
    <w:sectPr w:rsidR="00997973">
      <w:headerReference w:type="default" r:id="rId8"/>
      <w:endnotePr>
        <w:numFmt w:val="decimal"/>
      </w:endnotePr>
      <w:pgSz w:w="11909" w:h="16834" w:code="9"/>
      <w:pgMar w:top="1134" w:right="1440" w:bottom="1134" w:left="1440" w:header="709" w:footer="709" w:gutter="0"/>
      <w:paperSrc w:first="2" w:other="2"/>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F1C" w:rsidRDefault="00FC7F1C">
      <w:pPr>
        <w:spacing w:line="20" w:lineRule="exact"/>
      </w:pPr>
    </w:p>
  </w:endnote>
  <w:endnote w:type="continuationSeparator" w:id="0">
    <w:p w:rsidR="00FC7F1C" w:rsidRDefault="00FC7F1C">
      <w:r>
        <w:t xml:space="preserve"> </w:t>
      </w:r>
    </w:p>
  </w:endnote>
  <w:endnote w:type="continuationNotice" w:id="1">
    <w:p w:rsidR="00FC7F1C" w:rsidRDefault="00FC7F1C">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F1C" w:rsidRDefault="00FC7F1C">
      <w:r>
        <w:separator/>
      </w:r>
    </w:p>
  </w:footnote>
  <w:footnote w:type="continuationSeparator" w:id="0">
    <w:p w:rsidR="00FC7F1C" w:rsidRDefault="00FC7F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B9D" w:rsidRDefault="006F7B9D">
    <w:r>
      <w:rPr>
        <w:rFonts w:ascii="Times New Roman" w:hAnsi="Times New Roman"/>
        <w:noProof/>
        <w:sz w:val="20"/>
      </w:rPr>
      <w:pict>
        <v:rect id="_x0000_s2049" style="position:absolute;margin-left:1in;margin-top:0;width:451.3pt;height:10pt;z-index:251657728;mso-position-horizontal-relative:page" o:allowincell="f" filled="f" stroked="f" strokeweight="0">
          <v:textbox inset="0,0,0,0">
            <w:txbxContent>
              <w:p w:rsidR="006F7B9D" w:rsidRDefault="006F7B9D">
                <w:pPr>
                  <w:tabs>
                    <w:tab w:val="center" w:pos="4513"/>
                    <w:tab w:val="right" w:pos="9026"/>
                  </w:tabs>
                  <w:rPr>
                    <w:rFonts w:ascii="CG Times" w:hAnsi="CG Times"/>
                    <w:spacing w:val="-2"/>
                    <w:sz w:val="20"/>
                  </w:rPr>
                </w:pPr>
                <w:r>
                  <w:tab/>
                </w:r>
              </w:p>
            </w:txbxContent>
          </v:textbox>
          <w10:wrap anchorx="page"/>
        </v:rect>
      </w:pict>
    </w:r>
  </w:p>
  <w:p w:rsidR="006F7B9D" w:rsidRDefault="006F7B9D">
    <w:pPr>
      <w:spacing w:after="140" w:line="100" w:lineRule="exact"/>
      <w:rPr>
        <w:sz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17816"/>
    <w:multiLevelType w:val="hybridMultilevel"/>
    <w:tmpl w:val="4790F4AC"/>
    <w:lvl w:ilvl="0" w:tplc="66FEAE0C">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931FCC"/>
    <w:multiLevelType w:val="hybridMultilevel"/>
    <w:tmpl w:val="F7540E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113E3C"/>
    <w:multiLevelType w:val="hybridMultilevel"/>
    <w:tmpl w:val="03F2CC20"/>
    <w:lvl w:ilvl="0" w:tplc="04090019">
      <w:start w:val="1"/>
      <w:numFmt w:val="lowerLetter"/>
      <w:lvlText w:val="%1."/>
      <w:lvlJc w:val="left"/>
      <w:pPr>
        <w:tabs>
          <w:tab w:val="num" w:pos="1080"/>
        </w:tabs>
        <w:ind w:left="1080" w:hanging="360"/>
      </w:pPr>
    </w:lvl>
    <w:lvl w:ilvl="1" w:tplc="62F6112E">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D013A64"/>
    <w:multiLevelType w:val="hybridMultilevel"/>
    <w:tmpl w:val="47723F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4D04C2D"/>
    <w:multiLevelType w:val="hybridMultilevel"/>
    <w:tmpl w:val="3A7AE266"/>
    <w:lvl w:ilvl="0" w:tplc="04090019" w:tentative="1">
      <w:start w:val="1"/>
      <w:numFmt w:val="lowerLetter"/>
      <w:lvlText w:val="%1."/>
      <w:lvlJc w:val="left"/>
      <w:pPr>
        <w:tabs>
          <w:tab w:val="num" w:pos="1800"/>
        </w:tabs>
        <w:ind w:left="1800" w:hanging="360"/>
      </w:p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64F3718"/>
    <w:multiLevelType w:val="hybridMultilevel"/>
    <w:tmpl w:val="3D124DEA"/>
    <w:lvl w:ilvl="0" w:tplc="CBDAFA62">
      <w:start w:val="1"/>
      <w:numFmt w:val="decimal"/>
      <w:lvlText w:val="%1."/>
      <w:lvlJc w:val="left"/>
      <w:pPr>
        <w:tabs>
          <w:tab w:val="num" w:pos="1080"/>
        </w:tabs>
        <w:ind w:left="1080" w:hanging="72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6FF0A6D"/>
    <w:multiLevelType w:val="hybridMultilevel"/>
    <w:tmpl w:val="088E929A"/>
    <w:lvl w:ilvl="0" w:tplc="D78CBF58">
      <w:start w:val="4"/>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F7D6610"/>
    <w:multiLevelType w:val="hybridMultilevel"/>
    <w:tmpl w:val="A2D2C802"/>
    <w:lvl w:ilvl="0" w:tplc="04090019" w:tentative="1">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0647394"/>
    <w:multiLevelType w:val="hybridMultilevel"/>
    <w:tmpl w:val="D0783C58"/>
    <w:lvl w:ilvl="0" w:tplc="610A28C8">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833403"/>
    <w:multiLevelType w:val="hybridMultilevel"/>
    <w:tmpl w:val="47029638"/>
    <w:lvl w:ilvl="0" w:tplc="66FEAE0C">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7EE280F"/>
    <w:multiLevelType w:val="hybridMultilevel"/>
    <w:tmpl w:val="EF28838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0CB5089"/>
    <w:multiLevelType w:val="hybridMultilevel"/>
    <w:tmpl w:val="3570969C"/>
    <w:lvl w:ilvl="0" w:tplc="CF48A742">
      <w:start w:val="6"/>
      <w:numFmt w:val="bullet"/>
      <w:lvlText w:val=""/>
      <w:lvlJc w:val="left"/>
      <w:pPr>
        <w:tabs>
          <w:tab w:val="num" w:pos="1080"/>
        </w:tabs>
        <w:ind w:left="1080" w:hanging="360"/>
      </w:pPr>
      <w:rPr>
        <w:rFonts w:ascii="Symbol" w:eastAsia="Times New Roman" w:hAnsi="Symbol" w:cs="Times New Roman" w:hint="default"/>
        <w:b w:val="0"/>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71AF279C"/>
    <w:multiLevelType w:val="hybridMultilevel"/>
    <w:tmpl w:val="7C36B054"/>
    <w:lvl w:ilvl="0" w:tplc="04090019" w:tentative="1">
      <w:start w:val="1"/>
      <w:numFmt w:val="lowerLetter"/>
      <w:lvlText w:val="%1."/>
      <w:lvlJc w:val="left"/>
      <w:pPr>
        <w:tabs>
          <w:tab w:val="num" w:pos="2700"/>
        </w:tabs>
        <w:ind w:left="2700" w:hanging="360"/>
      </w:pPr>
    </w:lvl>
    <w:lvl w:ilvl="1" w:tplc="04090019" w:tentative="1">
      <w:start w:val="1"/>
      <w:numFmt w:val="lowerLetter"/>
      <w:lvlText w:val="%2."/>
      <w:lvlJc w:val="left"/>
      <w:pPr>
        <w:tabs>
          <w:tab w:val="num" w:pos="2700"/>
        </w:tabs>
        <w:ind w:left="2700" w:hanging="360"/>
      </w:pPr>
    </w:lvl>
    <w:lvl w:ilvl="2" w:tplc="0409001B">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nsid w:val="7F2917B7"/>
    <w:multiLevelType w:val="hybridMultilevel"/>
    <w:tmpl w:val="E14C9A5E"/>
    <w:lvl w:ilvl="0" w:tplc="04090019" w:tentative="1">
      <w:start w:val="1"/>
      <w:numFmt w:val="lowerLetter"/>
      <w:lvlText w:val="%1."/>
      <w:lvlJc w:val="left"/>
      <w:pPr>
        <w:tabs>
          <w:tab w:val="num" w:pos="3600"/>
        </w:tabs>
        <w:ind w:left="3600" w:hanging="360"/>
      </w:pPr>
    </w:lvl>
    <w:lvl w:ilvl="1" w:tplc="04090019" w:tentative="1">
      <w:start w:val="1"/>
      <w:numFmt w:val="lowerLetter"/>
      <w:lvlText w:val="%2."/>
      <w:lvlJc w:val="left"/>
      <w:pPr>
        <w:tabs>
          <w:tab w:val="num" w:pos="3600"/>
        </w:tabs>
        <w:ind w:left="3600" w:hanging="360"/>
      </w:pPr>
    </w:lvl>
    <w:lvl w:ilvl="2" w:tplc="0409001B">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abstractNumId w:val="8"/>
  </w:num>
  <w:num w:numId="2">
    <w:abstractNumId w:val="2"/>
  </w:num>
  <w:num w:numId="3">
    <w:abstractNumId w:val="11"/>
  </w:num>
  <w:num w:numId="4">
    <w:abstractNumId w:val="5"/>
  </w:num>
  <w:num w:numId="5">
    <w:abstractNumId w:val="4"/>
  </w:num>
  <w:num w:numId="6">
    <w:abstractNumId w:val="12"/>
  </w:num>
  <w:num w:numId="7">
    <w:abstractNumId w:val="13"/>
  </w:num>
  <w:num w:numId="8">
    <w:abstractNumId w:val="7"/>
  </w:num>
  <w:num w:numId="9">
    <w:abstractNumId w:val="6"/>
  </w:num>
  <w:num w:numId="10">
    <w:abstractNumId w:val="9"/>
  </w:num>
  <w:num w:numId="11">
    <w:abstractNumId w:val="1"/>
  </w:num>
  <w:num w:numId="12">
    <w:abstractNumId w:val="0"/>
  </w:num>
  <w:num w:numId="13">
    <w:abstractNumId w:val="1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hyphenationZone w:val="916"/>
  <w:doNotHyphenateCaps/>
  <w:displayHorizontalDrawingGridEvery w:val="0"/>
  <w:displayVerticalDrawingGridEvery w:val="0"/>
  <w:doNotUseMarginsForDrawingGridOrigin/>
  <w:doNotShadeFormData/>
  <w:noPunctuationKerning/>
  <w:characterSpacingControl w:val="doNotCompress"/>
  <w:hdrShapeDefaults>
    <o:shapedefaults v:ext="edit" spidmax="3074"/>
    <o:shapelayout v:ext="edit">
      <o:idmap v:ext="edit" data="2"/>
    </o:shapelayout>
  </w:hdrShapeDefaults>
  <w:footnotePr>
    <w:footnote w:id="-1"/>
    <w:footnote w:id="0"/>
  </w:footnotePr>
  <w:endnotePr>
    <w:numFmt w:val="decimal"/>
    <w:endnote w:id="-1"/>
    <w:endnote w:id="0"/>
    <w:endnote w:id="1"/>
  </w:endnotePr>
  <w:compat>
    <w:noTabHangInd/>
    <w:noColumnBalance/>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14DE"/>
    <w:rsid w:val="000E2688"/>
    <w:rsid w:val="001173C7"/>
    <w:rsid w:val="001334EE"/>
    <w:rsid w:val="00225C53"/>
    <w:rsid w:val="00261D66"/>
    <w:rsid w:val="002D5CAE"/>
    <w:rsid w:val="002F6A31"/>
    <w:rsid w:val="00386C60"/>
    <w:rsid w:val="00500EEC"/>
    <w:rsid w:val="005111F8"/>
    <w:rsid w:val="006F7B9D"/>
    <w:rsid w:val="00740B8A"/>
    <w:rsid w:val="008A0E05"/>
    <w:rsid w:val="009729F2"/>
    <w:rsid w:val="00995ABF"/>
    <w:rsid w:val="00997973"/>
    <w:rsid w:val="009F1A08"/>
    <w:rsid w:val="00BA44F0"/>
    <w:rsid w:val="00D343F9"/>
    <w:rsid w:val="00DA2AD8"/>
    <w:rsid w:val="00FC7F1C"/>
    <w:rsid w:val="00FD14DE"/>
    <w:rsid w:val="00FF6A17"/>
  </w:rsids>
  <m:mathPr>
    <m:mathFont m:val="Cambria Math"/>
    <m:brkBin m:val="before"/>
    <m:brkBinSub m:val="--"/>
    <m:smallFrac m:val="off"/>
    <m:dispDef/>
    <m:lMargin m:val="0"/>
    <m:rMargin m:val="0"/>
    <m:defJc m:val="centerGroup"/>
    <m:wrapIndent m:val="1440"/>
    <m:intLim m:val="subSup"/>
    <m:naryLim m:val="undOvr"/>
  </m:mathPr>
  <w:uiCompat97To2003/>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urier" w:hAnsi="Courier"/>
      <w:sz w:val="24"/>
      <w:lang w:val="en-GB" w:eastAsia="en-US"/>
    </w:rPr>
  </w:style>
  <w:style w:type="paragraph" w:styleId="Heading1">
    <w:name w:val="heading 1"/>
    <w:basedOn w:val="Normal"/>
    <w:next w:val="Normal"/>
    <w:qFormat/>
    <w:pPr>
      <w:keepNext/>
      <w:tabs>
        <w:tab w:val="center" w:pos="4513"/>
      </w:tabs>
      <w:suppressAutoHyphens/>
      <w:jc w:val="center"/>
      <w:outlineLvl w:val="0"/>
    </w:pPr>
    <w:rPr>
      <w:rFonts w:ascii="Arial" w:hAnsi="Arial"/>
      <w:b/>
      <w:spacing w:val="-2"/>
      <w:u w:val="single"/>
    </w:rPr>
  </w:style>
  <w:style w:type="paragraph" w:styleId="Heading2">
    <w:name w:val="heading 2"/>
    <w:basedOn w:val="Normal"/>
    <w:next w:val="Normal"/>
    <w:qFormat/>
    <w:pPr>
      <w:keepNext/>
      <w:tabs>
        <w:tab w:val="left" w:pos="-720"/>
      </w:tabs>
      <w:suppressAutoHyphens/>
      <w:jc w:val="center"/>
      <w:outlineLvl w:val="1"/>
    </w:pPr>
    <w:rPr>
      <w:rFonts w:ascii="Arial" w:hAnsi="Arial"/>
      <w:b/>
      <w:spacing w:val="-2"/>
    </w:rPr>
  </w:style>
  <w:style w:type="paragraph" w:styleId="Heading3">
    <w:name w:val="heading 3"/>
    <w:basedOn w:val="Normal"/>
    <w:next w:val="Normal"/>
    <w:qFormat/>
    <w:pPr>
      <w:keepNext/>
      <w:tabs>
        <w:tab w:val="left" w:pos="-720"/>
      </w:tabs>
      <w:suppressAutoHyphens/>
      <w:outlineLvl w:val="2"/>
    </w:pPr>
    <w:rPr>
      <w:rFonts w:ascii="Arial" w:hAnsi="Arial"/>
      <w:b/>
      <w:spacing w:val="-2"/>
    </w:rPr>
  </w:style>
  <w:style w:type="paragraph" w:styleId="Heading4">
    <w:name w:val="heading 4"/>
    <w:basedOn w:val="Normal"/>
    <w:next w:val="Normal"/>
    <w:qFormat/>
    <w:pPr>
      <w:keepNext/>
      <w:tabs>
        <w:tab w:val="left" w:pos="-720"/>
      </w:tabs>
      <w:suppressAutoHyphens/>
      <w:outlineLvl w:val="3"/>
    </w:pPr>
    <w:rPr>
      <w:rFonts w:ascii="Arial" w:hAnsi="Arial"/>
      <w:b/>
      <w:spacing w:val="-2"/>
      <w:sz w:val="20"/>
      <w:u w:val="single"/>
    </w:rPr>
  </w:style>
  <w:style w:type="paragraph" w:styleId="Heading5">
    <w:name w:val="heading 5"/>
    <w:basedOn w:val="Normal"/>
    <w:next w:val="Normal"/>
    <w:qFormat/>
    <w:pPr>
      <w:keepNext/>
      <w:tabs>
        <w:tab w:val="left" w:pos="-720"/>
      </w:tabs>
      <w:suppressAutoHyphens/>
      <w:outlineLvl w:val="4"/>
    </w:pPr>
    <w:rPr>
      <w:rFonts w:ascii="Arial" w:hAnsi="Arial" w:cs="Arial"/>
      <w:b/>
      <w:bCs/>
      <w:sz w:val="20"/>
    </w:rPr>
  </w:style>
  <w:style w:type="paragraph" w:styleId="Heading6">
    <w:name w:val="heading 6"/>
    <w:basedOn w:val="Normal"/>
    <w:next w:val="Normal"/>
    <w:qFormat/>
    <w:pPr>
      <w:keepNext/>
      <w:tabs>
        <w:tab w:val="left" w:pos="-720"/>
      </w:tabs>
      <w:suppressAutoHyphens/>
      <w:outlineLvl w:val="5"/>
    </w:pPr>
    <w:rPr>
      <w:rFonts w:ascii="Arial" w:hAnsi="Arial" w:cs="Arial"/>
      <w:b/>
      <w:bCs/>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rPr>
      <w:lang w:val="en-US"/>
    </w:rPr>
  </w:style>
  <w:style w:type="paragraph" w:styleId="TOC2">
    <w:name w:val="toc 2"/>
    <w:basedOn w:val="Normal"/>
    <w:next w:val="Normal"/>
    <w:semiHidden/>
    <w:pPr>
      <w:tabs>
        <w:tab w:val="right" w:leader="dot" w:pos="9360"/>
      </w:tabs>
      <w:suppressAutoHyphens/>
      <w:ind w:left="1440" w:right="720" w:hanging="720"/>
    </w:pPr>
    <w:rPr>
      <w:lang w:val="en-US"/>
    </w:rPr>
  </w:style>
  <w:style w:type="paragraph" w:styleId="TOC3">
    <w:name w:val="toc 3"/>
    <w:basedOn w:val="Normal"/>
    <w:next w:val="Normal"/>
    <w:semiHidden/>
    <w:pPr>
      <w:tabs>
        <w:tab w:val="right" w:leader="dot" w:pos="9360"/>
      </w:tabs>
      <w:suppressAutoHyphens/>
      <w:ind w:left="2160" w:right="720" w:hanging="720"/>
    </w:pPr>
    <w:rPr>
      <w:lang w:val="en-US"/>
    </w:rPr>
  </w:style>
  <w:style w:type="paragraph" w:styleId="TOC4">
    <w:name w:val="toc 4"/>
    <w:basedOn w:val="Normal"/>
    <w:next w:val="Normal"/>
    <w:semiHidden/>
    <w:pPr>
      <w:tabs>
        <w:tab w:val="right" w:leader="dot" w:pos="9360"/>
      </w:tabs>
      <w:suppressAutoHyphens/>
      <w:ind w:left="2880" w:right="720" w:hanging="720"/>
    </w:pPr>
    <w:rPr>
      <w:lang w:val="en-US"/>
    </w:rPr>
  </w:style>
  <w:style w:type="paragraph" w:styleId="TOC5">
    <w:name w:val="toc 5"/>
    <w:basedOn w:val="Normal"/>
    <w:next w:val="Normal"/>
    <w:semiHidden/>
    <w:pPr>
      <w:tabs>
        <w:tab w:val="right" w:leader="dot" w:pos="9360"/>
      </w:tabs>
      <w:suppressAutoHyphens/>
      <w:ind w:left="3600" w:right="720" w:hanging="720"/>
    </w:pPr>
    <w:rPr>
      <w:lang w:val="en-US"/>
    </w:rPr>
  </w:style>
  <w:style w:type="paragraph" w:styleId="TOC6">
    <w:name w:val="toc 6"/>
    <w:basedOn w:val="Normal"/>
    <w:next w:val="Normal"/>
    <w:semiHidden/>
    <w:pPr>
      <w:tabs>
        <w:tab w:val="right" w:pos="9360"/>
      </w:tabs>
      <w:suppressAutoHyphens/>
      <w:ind w:left="720" w:hanging="720"/>
    </w:pPr>
    <w:rPr>
      <w:lang w:val="en-US"/>
    </w:rPr>
  </w:style>
  <w:style w:type="paragraph" w:styleId="TOC7">
    <w:name w:val="toc 7"/>
    <w:basedOn w:val="Normal"/>
    <w:next w:val="Normal"/>
    <w:semiHidden/>
    <w:pPr>
      <w:suppressAutoHyphens/>
      <w:ind w:left="720" w:hanging="720"/>
    </w:pPr>
    <w:rPr>
      <w:lang w:val="en-US"/>
    </w:rPr>
  </w:style>
  <w:style w:type="paragraph" w:styleId="TOC8">
    <w:name w:val="toc 8"/>
    <w:basedOn w:val="Normal"/>
    <w:next w:val="Normal"/>
    <w:semiHidden/>
    <w:pPr>
      <w:tabs>
        <w:tab w:val="right" w:pos="9360"/>
      </w:tabs>
      <w:suppressAutoHyphens/>
      <w:ind w:left="720" w:hanging="720"/>
    </w:pPr>
    <w:rPr>
      <w:lang w:val="en-US"/>
    </w:rPr>
  </w:style>
  <w:style w:type="paragraph" w:styleId="TOC9">
    <w:name w:val="toc 9"/>
    <w:basedOn w:val="Normal"/>
    <w:next w:val="Normal"/>
    <w:semiHidden/>
    <w:pPr>
      <w:tabs>
        <w:tab w:val="right" w:leader="dot" w:pos="9360"/>
      </w:tabs>
      <w:suppressAutoHyphens/>
      <w:ind w:left="720" w:hanging="720"/>
    </w:pPr>
    <w:rPr>
      <w:lang w:val="en-US"/>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odyTextIndent2">
    <w:name w:val="Body Text Indent 2"/>
    <w:basedOn w:val="Normal"/>
    <w:semiHidden/>
    <w:pPr>
      <w:ind w:left="720"/>
    </w:pPr>
    <w:rPr>
      <w:rFonts w:ascii="Arial" w:hAnsi="Arial" w:cs="Arial"/>
    </w:rPr>
  </w:style>
  <w:style w:type="paragraph" w:styleId="BodyText">
    <w:name w:val="Body Text"/>
    <w:basedOn w:val="Normal"/>
    <w:semiHidden/>
    <w:pPr>
      <w:tabs>
        <w:tab w:val="left" w:pos="-720"/>
      </w:tabs>
      <w:suppressAutoHyphens/>
    </w:pPr>
    <w:rPr>
      <w:rFonts w:ascii="Arial" w:hAnsi="Arial" w:cs="Arial"/>
      <w:sz w:val="20"/>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0EDFFB-F28B-4D31-81C3-2DA287FA9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Agriculture &amp; Food</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Avril Claffey</dc:creator>
  <cp:keywords/>
  <cp:lastModifiedBy>deirdre.flynn</cp:lastModifiedBy>
  <cp:revision>2</cp:revision>
  <cp:lastPrinted>2013-01-29T16:50:00Z</cp:lastPrinted>
  <dcterms:created xsi:type="dcterms:W3CDTF">2013-01-29T16:53:00Z</dcterms:created>
  <dcterms:modified xsi:type="dcterms:W3CDTF">2013-01-29T16:53:00Z</dcterms:modified>
</cp:coreProperties>
</file>