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53D" w:rsidRDefault="007F753D"/>
    <w:p w:rsidR="00430B2C" w:rsidRDefault="00430B2C"/>
    <w:p w:rsidR="00430B2C" w:rsidRPr="00430B2C" w:rsidRDefault="004970A4" w:rsidP="00430B2C">
      <w:pPr>
        <w:jc w:val="center"/>
        <w:rPr>
          <w:b/>
          <w:sz w:val="36"/>
          <w:szCs w:val="36"/>
        </w:rPr>
      </w:pPr>
      <w:r>
        <w:rPr>
          <w:b/>
          <w:sz w:val="36"/>
          <w:szCs w:val="36"/>
        </w:rPr>
        <w:t>3</w:t>
      </w:r>
      <w:r w:rsidRPr="004970A4">
        <w:rPr>
          <w:b/>
          <w:sz w:val="36"/>
          <w:szCs w:val="36"/>
          <w:vertAlign w:val="superscript"/>
        </w:rPr>
        <w:t>rd</w:t>
      </w:r>
      <w:r>
        <w:rPr>
          <w:b/>
          <w:sz w:val="36"/>
          <w:szCs w:val="36"/>
        </w:rPr>
        <w:t xml:space="preserve"> </w:t>
      </w:r>
      <w:r w:rsidR="00430B2C" w:rsidRPr="00430B2C">
        <w:rPr>
          <w:b/>
          <w:sz w:val="36"/>
          <w:szCs w:val="36"/>
        </w:rPr>
        <w:t>Review of Ireland’s Nitrates Action Programme</w:t>
      </w:r>
    </w:p>
    <w:p w:rsidR="00430B2C" w:rsidRPr="00430B2C" w:rsidRDefault="00430B2C" w:rsidP="00430B2C">
      <w:pPr>
        <w:jc w:val="center"/>
        <w:rPr>
          <w:b/>
          <w:sz w:val="36"/>
          <w:szCs w:val="36"/>
        </w:rPr>
      </w:pPr>
      <w:r w:rsidRPr="00430B2C">
        <w:rPr>
          <w:b/>
          <w:sz w:val="36"/>
          <w:szCs w:val="36"/>
        </w:rPr>
        <w:t>Review of submissions received under Public Consultation</w:t>
      </w:r>
    </w:p>
    <w:p w:rsidR="00430B2C" w:rsidRDefault="00430B2C" w:rsidP="00430B2C">
      <w:pPr>
        <w:jc w:val="center"/>
      </w:pPr>
    </w:p>
    <w:p w:rsidR="00430B2C" w:rsidRDefault="00430B2C" w:rsidP="00430B2C">
      <w:pPr>
        <w:jc w:val="center"/>
      </w:pPr>
    </w:p>
    <w:p w:rsidR="00430B2C" w:rsidRPr="00430B2C" w:rsidRDefault="00430B2C" w:rsidP="00430B2C">
      <w:pPr>
        <w:jc w:val="center"/>
        <w:rPr>
          <w:sz w:val="28"/>
          <w:szCs w:val="28"/>
        </w:rPr>
      </w:pPr>
      <w:r w:rsidRPr="00430B2C">
        <w:rPr>
          <w:sz w:val="28"/>
          <w:szCs w:val="28"/>
        </w:rPr>
        <w:t xml:space="preserve">Report and recommendations to the Department of </w:t>
      </w:r>
      <w:r w:rsidR="004970A4">
        <w:rPr>
          <w:sz w:val="28"/>
          <w:szCs w:val="28"/>
        </w:rPr>
        <w:t>Housing, Planning</w:t>
      </w:r>
      <w:r w:rsidRPr="00430B2C">
        <w:rPr>
          <w:sz w:val="28"/>
          <w:szCs w:val="28"/>
        </w:rPr>
        <w:t xml:space="preserve"> and Local Government and the Department of Agriculture</w:t>
      </w:r>
      <w:r w:rsidR="00D62D08">
        <w:rPr>
          <w:sz w:val="28"/>
          <w:szCs w:val="28"/>
        </w:rPr>
        <w:t>,</w:t>
      </w:r>
      <w:r w:rsidRPr="00430B2C">
        <w:rPr>
          <w:sz w:val="28"/>
          <w:szCs w:val="28"/>
        </w:rPr>
        <w:t xml:space="preserve"> Food and the Marine in relation to submission</w:t>
      </w:r>
      <w:r>
        <w:rPr>
          <w:sz w:val="28"/>
          <w:szCs w:val="28"/>
        </w:rPr>
        <w:t>s</w:t>
      </w:r>
      <w:r w:rsidRPr="00430B2C">
        <w:rPr>
          <w:sz w:val="28"/>
          <w:szCs w:val="28"/>
        </w:rPr>
        <w:t xml:space="preserve"> received and suggested measures to be included in Ireland’s </w:t>
      </w:r>
      <w:r w:rsidR="004970A4">
        <w:rPr>
          <w:sz w:val="28"/>
          <w:szCs w:val="28"/>
        </w:rPr>
        <w:t>4</w:t>
      </w:r>
      <w:r w:rsidR="004970A4">
        <w:rPr>
          <w:sz w:val="28"/>
          <w:szCs w:val="28"/>
          <w:vertAlign w:val="superscript"/>
        </w:rPr>
        <w:t>th</w:t>
      </w:r>
      <w:r w:rsidRPr="00430B2C">
        <w:rPr>
          <w:sz w:val="28"/>
          <w:szCs w:val="28"/>
        </w:rPr>
        <w:t xml:space="preserve"> Nitrates Action Programme.</w:t>
      </w:r>
    </w:p>
    <w:p w:rsidR="00430B2C" w:rsidRPr="00430B2C" w:rsidRDefault="00430B2C" w:rsidP="00430B2C">
      <w:pPr>
        <w:jc w:val="center"/>
        <w:rPr>
          <w:sz w:val="28"/>
          <w:szCs w:val="28"/>
        </w:rPr>
      </w:pPr>
    </w:p>
    <w:p w:rsidR="00430B2C" w:rsidRPr="00430B2C" w:rsidRDefault="00430B2C" w:rsidP="00430B2C">
      <w:pPr>
        <w:jc w:val="center"/>
        <w:rPr>
          <w:sz w:val="28"/>
          <w:szCs w:val="28"/>
        </w:rPr>
      </w:pPr>
    </w:p>
    <w:p w:rsidR="00430B2C" w:rsidRPr="00430B2C" w:rsidRDefault="00430B2C" w:rsidP="00430B2C">
      <w:pPr>
        <w:jc w:val="center"/>
        <w:rPr>
          <w:sz w:val="28"/>
          <w:szCs w:val="28"/>
        </w:rPr>
      </w:pPr>
    </w:p>
    <w:p w:rsidR="00430B2C" w:rsidRPr="00430B2C" w:rsidRDefault="00430B2C" w:rsidP="00430B2C">
      <w:pPr>
        <w:jc w:val="center"/>
        <w:rPr>
          <w:sz w:val="28"/>
          <w:szCs w:val="28"/>
        </w:rPr>
      </w:pPr>
    </w:p>
    <w:p w:rsidR="00430B2C" w:rsidRPr="00430B2C" w:rsidRDefault="00430B2C" w:rsidP="00430B2C">
      <w:pPr>
        <w:jc w:val="center"/>
        <w:rPr>
          <w:sz w:val="28"/>
          <w:szCs w:val="28"/>
        </w:rPr>
      </w:pPr>
    </w:p>
    <w:p w:rsidR="00430B2C" w:rsidRPr="00430B2C" w:rsidRDefault="00430B2C" w:rsidP="00430B2C">
      <w:pPr>
        <w:jc w:val="center"/>
        <w:rPr>
          <w:sz w:val="28"/>
          <w:szCs w:val="28"/>
        </w:rPr>
      </w:pPr>
    </w:p>
    <w:p w:rsidR="00430B2C" w:rsidRPr="00430B2C" w:rsidRDefault="00430B2C" w:rsidP="00430B2C">
      <w:pPr>
        <w:jc w:val="center"/>
        <w:rPr>
          <w:sz w:val="28"/>
          <w:szCs w:val="28"/>
        </w:rPr>
      </w:pPr>
    </w:p>
    <w:p w:rsidR="00430B2C" w:rsidRDefault="00AE173D" w:rsidP="00430B2C">
      <w:pPr>
        <w:jc w:val="center"/>
        <w:rPr>
          <w:sz w:val="28"/>
          <w:szCs w:val="28"/>
        </w:rPr>
      </w:pPr>
      <w:r>
        <w:rPr>
          <w:sz w:val="28"/>
          <w:szCs w:val="28"/>
        </w:rPr>
        <w:t xml:space="preserve">September </w:t>
      </w:r>
      <w:r w:rsidR="004970A4">
        <w:rPr>
          <w:sz w:val="28"/>
          <w:szCs w:val="28"/>
        </w:rPr>
        <w:t>2017</w:t>
      </w:r>
    </w:p>
    <w:p w:rsidR="00801270" w:rsidRDefault="00801270" w:rsidP="00430B2C">
      <w:pPr>
        <w:jc w:val="center"/>
        <w:rPr>
          <w:sz w:val="28"/>
          <w:szCs w:val="28"/>
        </w:rPr>
      </w:pPr>
    </w:p>
    <w:p w:rsidR="00801270" w:rsidRDefault="00801270" w:rsidP="00801270"/>
    <w:p w:rsidR="00801270" w:rsidRDefault="00801270" w:rsidP="00801270"/>
    <w:p w:rsidR="00801270" w:rsidRDefault="00801270" w:rsidP="00801270"/>
    <w:p w:rsidR="00801270" w:rsidRDefault="00801270" w:rsidP="00801270"/>
    <w:p w:rsidR="00801270" w:rsidRDefault="00801270" w:rsidP="00801270"/>
    <w:p w:rsidR="0074223A" w:rsidRDefault="0074223A">
      <w:pPr>
        <w:spacing w:after="0" w:line="240" w:lineRule="auto"/>
        <w:rPr>
          <w:b/>
          <w:u w:val="single"/>
        </w:rPr>
      </w:pPr>
      <w:r>
        <w:rPr>
          <w:b/>
          <w:u w:val="single"/>
        </w:rPr>
        <w:br w:type="page"/>
      </w:r>
    </w:p>
    <w:p w:rsidR="00801270" w:rsidRDefault="00C21CDD" w:rsidP="004C048C">
      <w:pPr>
        <w:spacing w:after="0" w:line="240" w:lineRule="auto"/>
        <w:rPr>
          <w:b/>
          <w:u w:val="single"/>
        </w:rPr>
      </w:pPr>
      <w:r w:rsidRPr="006955D5">
        <w:rPr>
          <w:b/>
          <w:u w:val="single"/>
        </w:rPr>
        <w:lastRenderedPageBreak/>
        <w:t xml:space="preserve">1. </w:t>
      </w:r>
      <w:r w:rsidR="00251FCE" w:rsidRPr="006955D5">
        <w:rPr>
          <w:b/>
          <w:u w:val="single"/>
        </w:rPr>
        <w:t>Introduction</w:t>
      </w:r>
    </w:p>
    <w:p w:rsidR="004C048C" w:rsidRPr="006955D5" w:rsidRDefault="004C048C" w:rsidP="004C048C">
      <w:pPr>
        <w:spacing w:after="0" w:line="240" w:lineRule="auto"/>
        <w:rPr>
          <w:b/>
          <w:u w:val="single"/>
        </w:rPr>
      </w:pPr>
    </w:p>
    <w:p w:rsidR="00251FCE" w:rsidRDefault="00E17D86" w:rsidP="004C048C">
      <w:pPr>
        <w:numPr>
          <w:ilvl w:val="1"/>
          <w:numId w:val="37"/>
        </w:numPr>
        <w:spacing w:after="0" w:line="240" w:lineRule="auto"/>
        <w:rPr>
          <w:b/>
        </w:rPr>
      </w:pPr>
      <w:r w:rsidRPr="006955D5">
        <w:rPr>
          <w:b/>
        </w:rPr>
        <w:t>Review of the Nitrates Action Programme</w:t>
      </w:r>
    </w:p>
    <w:p w:rsidR="004C048C" w:rsidRPr="006955D5" w:rsidRDefault="004C048C" w:rsidP="004C048C">
      <w:pPr>
        <w:spacing w:after="0" w:line="240" w:lineRule="auto"/>
        <w:ind w:left="360"/>
        <w:rPr>
          <w:b/>
        </w:rPr>
      </w:pPr>
    </w:p>
    <w:p w:rsidR="00895698" w:rsidRDefault="00251FCE" w:rsidP="002128CD">
      <w:pPr>
        <w:spacing w:after="0" w:line="240" w:lineRule="auto"/>
        <w:jc w:val="both"/>
      </w:pPr>
      <w:r>
        <w:t xml:space="preserve">Ireland’s first Nitrates Action Programme (NAP) came into operation in 2006.  Giving effect to the Nitrates Directive and supported by successive national regulations, the NAP was designed to prevent pollution of surface </w:t>
      </w:r>
      <w:r w:rsidR="00D62D08">
        <w:t xml:space="preserve">waters </w:t>
      </w:r>
      <w:r>
        <w:t xml:space="preserve">and groundwater from agricultural sources and to protect and improve water quality. </w:t>
      </w:r>
      <w:r w:rsidR="00834FFB">
        <w:t>In accordance with the Nitrates Directive and Article 28 of the Good Agricultural Practice Regulations</w:t>
      </w:r>
      <w:r w:rsidR="00D62D08">
        <w:t>,</w:t>
      </w:r>
      <w:r w:rsidR="00834FFB">
        <w:t xml:space="preserve"> </w:t>
      </w:r>
      <w:r>
        <w:t>the Minister for the Environment, Community and Local Government, in consultation with the Minister for Agriculture, Food and the Marine</w:t>
      </w:r>
      <w:r w:rsidR="00834FFB">
        <w:t xml:space="preserve"> </w:t>
      </w:r>
      <w:r>
        <w:t>review</w:t>
      </w:r>
      <w:r w:rsidR="00834FFB">
        <w:t>ed the NAP for the first time in 2010</w:t>
      </w:r>
      <w:r w:rsidR="00B23DFB">
        <w:t>, and for the second time in 2013</w:t>
      </w:r>
      <w:r w:rsidR="00834FFB">
        <w:t xml:space="preserve">.  This resulted </w:t>
      </w:r>
      <w:r w:rsidR="00731254">
        <w:t>in a revised Nitrates Action Programme</w:t>
      </w:r>
      <w:r w:rsidR="00B23DFB">
        <w:t>s</w:t>
      </w:r>
      <w:r w:rsidR="00731254">
        <w:t xml:space="preserve"> (NAP2</w:t>
      </w:r>
      <w:r w:rsidR="00B23DFB">
        <w:t xml:space="preserve"> and NAP3</w:t>
      </w:r>
      <w:r w:rsidR="00731254">
        <w:t xml:space="preserve">) and the current </w:t>
      </w:r>
      <w:r w:rsidR="00834FFB" w:rsidRPr="00834FFB">
        <w:t>Good Agricultural Practice Regulations</w:t>
      </w:r>
      <w:r w:rsidR="00895698">
        <w:t xml:space="preserve"> (also known</w:t>
      </w:r>
      <w:r w:rsidR="00D71115">
        <w:t xml:space="preserve"> </w:t>
      </w:r>
      <w:r w:rsidR="008A56FD">
        <w:t xml:space="preserve">as the ‘GAP Regulations’ and </w:t>
      </w:r>
      <w:r w:rsidR="00D71115">
        <w:t>the ‘Nitrates Regulations’)</w:t>
      </w:r>
      <w:r w:rsidR="00B23DFB">
        <w:t xml:space="preserve"> – S.I. no.31/2014</w:t>
      </w:r>
      <w:r w:rsidR="00834FFB">
        <w:t>.</w:t>
      </w:r>
    </w:p>
    <w:p w:rsidR="00895698" w:rsidRDefault="00895698" w:rsidP="002128CD">
      <w:pPr>
        <w:spacing w:after="0" w:line="240" w:lineRule="auto"/>
        <w:jc w:val="both"/>
      </w:pPr>
    </w:p>
    <w:p w:rsidR="00251FCE" w:rsidRDefault="00B23DFB" w:rsidP="002128CD">
      <w:pPr>
        <w:spacing w:after="0" w:line="240" w:lineRule="auto"/>
        <w:jc w:val="both"/>
      </w:pPr>
      <w:r>
        <w:t>NAP3</w:t>
      </w:r>
      <w:r w:rsidR="002F5E61">
        <w:t xml:space="preserve"> expires on 31 De</w:t>
      </w:r>
      <w:r>
        <w:t>cember 2017</w:t>
      </w:r>
      <w:r w:rsidR="00895698">
        <w:t xml:space="preserve"> and </w:t>
      </w:r>
      <w:r w:rsidR="002F5E61">
        <w:t xml:space="preserve">this </w:t>
      </w:r>
      <w:r>
        <w:t>third</w:t>
      </w:r>
      <w:r w:rsidR="00834FFB">
        <w:t xml:space="preserve"> review of the NAP is due to be completed by the end of this year.  Accordingly</w:t>
      </w:r>
      <w:r w:rsidR="00895698">
        <w:t>,</w:t>
      </w:r>
      <w:r w:rsidR="00834FFB">
        <w:t xml:space="preserve"> it is intended to finalise Ireland</w:t>
      </w:r>
      <w:r>
        <w:t>’s fourth NAP (NAP4</w:t>
      </w:r>
      <w:r w:rsidR="00834FFB">
        <w:t>) and re</w:t>
      </w:r>
      <w:r>
        <w:t>lated regulations shortly.  NAP4 will run until end 2021</w:t>
      </w:r>
      <w:r w:rsidR="00834FFB">
        <w:t>.</w:t>
      </w:r>
    </w:p>
    <w:p w:rsidR="004C048C" w:rsidRDefault="004C048C" w:rsidP="004C048C">
      <w:pPr>
        <w:spacing w:after="0" w:line="240" w:lineRule="auto"/>
      </w:pPr>
    </w:p>
    <w:p w:rsidR="00E17D86" w:rsidRDefault="00E17D86" w:rsidP="004C048C">
      <w:pPr>
        <w:numPr>
          <w:ilvl w:val="1"/>
          <w:numId w:val="37"/>
        </w:numPr>
        <w:spacing w:after="0" w:line="240" w:lineRule="auto"/>
        <w:rPr>
          <w:b/>
        </w:rPr>
      </w:pPr>
      <w:r w:rsidRPr="006955D5">
        <w:rPr>
          <w:b/>
        </w:rPr>
        <w:t>Public consultation</w:t>
      </w:r>
    </w:p>
    <w:p w:rsidR="004C048C" w:rsidRPr="006955D5" w:rsidRDefault="004C048C" w:rsidP="004C048C">
      <w:pPr>
        <w:spacing w:after="0" w:line="240" w:lineRule="auto"/>
        <w:ind w:left="360"/>
      </w:pPr>
    </w:p>
    <w:p w:rsidR="00E17D86" w:rsidRDefault="00E17D86" w:rsidP="002128CD">
      <w:pPr>
        <w:spacing w:after="0" w:line="240" w:lineRule="auto"/>
        <w:jc w:val="both"/>
      </w:pPr>
      <w:r>
        <w:t xml:space="preserve">To further inform the review, the </w:t>
      </w:r>
      <w:r w:rsidR="00DC01EF" w:rsidRPr="00DC01EF">
        <w:t>Department of Housing, Planning</w:t>
      </w:r>
      <w:r w:rsidR="007A6329">
        <w:t xml:space="preserve"> </w:t>
      </w:r>
      <w:r w:rsidR="00DC01EF" w:rsidRPr="00DC01EF">
        <w:t>and Local Government</w:t>
      </w:r>
      <w:r w:rsidR="00DC01EF" w:rsidRPr="00430B2C">
        <w:rPr>
          <w:sz w:val="28"/>
          <w:szCs w:val="28"/>
        </w:rPr>
        <w:t xml:space="preserve"> </w:t>
      </w:r>
      <w:r>
        <w:t>(D</w:t>
      </w:r>
      <w:r w:rsidR="00DC01EF">
        <w:t>HP</w:t>
      </w:r>
      <w:r>
        <w:t xml:space="preserve">LG) and the Department of Agriculture, Food and the Marine (DAFM) jointly published a consultation paper </w:t>
      </w:r>
      <w:r w:rsidR="005C042A">
        <w:t>on 2</w:t>
      </w:r>
      <w:r w:rsidR="00323373">
        <w:t xml:space="preserve"> March 2017</w:t>
      </w:r>
      <w:r>
        <w:t xml:space="preserve"> and invited submissions from interested p</w:t>
      </w:r>
      <w:r w:rsidR="00323373">
        <w:t>arties and the pub</w:t>
      </w:r>
      <w:r w:rsidR="008A56FD">
        <w:t>lic by 3 May 2017. A total of 28</w:t>
      </w:r>
      <w:r>
        <w:t xml:space="preserve"> </w:t>
      </w:r>
      <w:r w:rsidR="00B649F8">
        <w:t xml:space="preserve">written </w:t>
      </w:r>
      <w:r>
        <w:t xml:space="preserve">submissions were received </w:t>
      </w:r>
      <w:r w:rsidR="00B649F8">
        <w:t xml:space="preserve">in response to this invitation as detailed in appendix 1 to this report.  These include submissions from </w:t>
      </w:r>
      <w:r w:rsidR="00185DF0">
        <w:t>l</w:t>
      </w:r>
      <w:r w:rsidR="00B649F8">
        <w:t xml:space="preserve">ocal </w:t>
      </w:r>
      <w:r w:rsidR="00185DF0">
        <w:t>a</w:t>
      </w:r>
      <w:r w:rsidR="00B649F8">
        <w:t xml:space="preserve">uthorities, </w:t>
      </w:r>
      <w:r w:rsidR="00B008E9">
        <w:t>public service bodies,</w:t>
      </w:r>
      <w:r w:rsidR="007519D2">
        <w:t xml:space="preserve"> </w:t>
      </w:r>
      <w:r w:rsidR="00B649F8">
        <w:t xml:space="preserve">farmers and </w:t>
      </w:r>
      <w:r w:rsidR="000F63A6">
        <w:t>farming representative bodies, e</w:t>
      </w:r>
      <w:r w:rsidR="00B649F8">
        <w:t>NGOs, agricultural co-operative societies, trade and professional bodies and Teagasc.  The Departments</w:t>
      </w:r>
      <w:r w:rsidR="008A56FD">
        <w:t>,</w:t>
      </w:r>
      <w:r w:rsidR="00B649F8">
        <w:t xml:space="preserve"> and the</w:t>
      </w:r>
      <w:r w:rsidR="000F63A6">
        <w:t xml:space="preserve"> </w:t>
      </w:r>
      <w:r w:rsidR="0013442C">
        <w:t>Review</w:t>
      </w:r>
      <w:r w:rsidR="00E114C2">
        <w:t xml:space="preserve"> </w:t>
      </w:r>
      <w:r w:rsidR="00B649F8">
        <w:t>Group formed to review these submissions</w:t>
      </w:r>
      <w:r w:rsidR="008A56FD">
        <w:t>,</w:t>
      </w:r>
      <w:r w:rsidR="00B649F8">
        <w:t xml:space="preserve"> found this wide and considered input to the review process to be very valuable and they thank all parties involved for their contributions.</w:t>
      </w:r>
    </w:p>
    <w:p w:rsidR="004C048C" w:rsidRDefault="004C048C" w:rsidP="004C048C">
      <w:pPr>
        <w:spacing w:after="0" w:line="240" w:lineRule="auto"/>
      </w:pPr>
    </w:p>
    <w:p w:rsidR="002946F2" w:rsidRDefault="002946F2" w:rsidP="004C048C">
      <w:pPr>
        <w:numPr>
          <w:ilvl w:val="1"/>
          <w:numId w:val="37"/>
        </w:numPr>
        <w:spacing w:after="0" w:line="240" w:lineRule="auto"/>
        <w:rPr>
          <w:b/>
        </w:rPr>
      </w:pPr>
      <w:r w:rsidRPr="006955D5">
        <w:rPr>
          <w:b/>
        </w:rPr>
        <w:t>Review Group</w:t>
      </w:r>
    </w:p>
    <w:p w:rsidR="004C048C" w:rsidRPr="006955D5" w:rsidRDefault="004C048C" w:rsidP="004C048C">
      <w:pPr>
        <w:spacing w:after="0" w:line="240" w:lineRule="auto"/>
        <w:ind w:left="360"/>
        <w:rPr>
          <w:b/>
        </w:rPr>
      </w:pPr>
    </w:p>
    <w:p w:rsidR="00E17D86" w:rsidRDefault="002946F2" w:rsidP="002128CD">
      <w:pPr>
        <w:spacing w:after="0" w:line="240" w:lineRule="auto"/>
        <w:jc w:val="both"/>
      </w:pPr>
      <w:r>
        <w:t>All submissions received were reviewed by an expert group set up specifically for this task.  The Group was jointly chaired by D</w:t>
      </w:r>
      <w:r w:rsidR="007519D2">
        <w:t>HPLG</w:t>
      </w:r>
      <w:r>
        <w:t xml:space="preserve"> and DAFM and comprised senior scientific e</w:t>
      </w:r>
      <w:r w:rsidR="007519D2">
        <w:t>xperts from DHPLG</w:t>
      </w:r>
      <w:r>
        <w:t xml:space="preserve">, DAFM, the Environmental Protection Agency </w:t>
      </w:r>
      <w:r w:rsidR="00731254">
        <w:t xml:space="preserve">(EPA) </w:t>
      </w:r>
      <w:r>
        <w:t>and Teagasc.  Membership of the Group is detailed in appendix 2 to this report.</w:t>
      </w:r>
      <w:r w:rsidR="00015EBB">
        <w:t xml:space="preserve"> </w:t>
      </w:r>
    </w:p>
    <w:p w:rsidR="004C048C" w:rsidRDefault="004C048C" w:rsidP="004C048C">
      <w:pPr>
        <w:spacing w:after="0" w:line="240" w:lineRule="auto"/>
      </w:pPr>
    </w:p>
    <w:p w:rsidR="00015EBB" w:rsidRDefault="00015EBB" w:rsidP="004C048C">
      <w:pPr>
        <w:numPr>
          <w:ilvl w:val="1"/>
          <w:numId w:val="37"/>
        </w:numPr>
        <w:spacing w:after="0" w:line="240" w:lineRule="auto"/>
        <w:rPr>
          <w:b/>
        </w:rPr>
      </w:pPr>
      <w:r w:rsidRPr="006955D5">
        <w:rPr>
          <w:b/>
        </w:rPr>
        <w:t>Guiding Principles</w:t>
      </w:r>
    </w:p>
    <w:p w:rsidR="004C048C" w:rsidRPr="006955D5" w:rsidRDefault="004C048C" w:rsidP="004C048C">
      <w:pPr>
        <w:spacing w:after="0" w:line="240" w:lineRule="auto"/>
        <w:ind w:left="360"/>
      </w:pPr>
    </w:p>
    <w:p w:rsidR="00015EBB" w:rsidRDefault="00015EBB" w:rsidP="004C048C">
      <w:pPr>
        <w:spacing w:after="0" w:line="240" w:lineRule="auto"/>
      </w:pPr>
      <w:r>
        <w:t xml:space="preserve">The Group </w:t>
      </w:r>
      <w:r w:rsidR="002B3AB6">
        <w:t xml:space="preserve">worked with the following </w:t>
      </w:r>
      <w:r>
        <w:t>guiding principles:</w:t>
      </w:r>
    </w:p>
    <w:p w:rsidR="00015EBB" w:rsidRDefault="00B77E20" w:rsidP="002128CD">
      <w:pPr>
        <w:numPr>
          <w:ilvl w:val="0"/>
          <w:numId w:val="1"/>
        </w:numPr>
        <w:spacing w:after="0" w:line="240" w:lineRule="auto"/>
        <w:jc w:val="both"/>
      </w:pPr>
      <w:r>
        <w:t>that NAP4</w:t>
      </w:r>
      <w:r w:rsidR="00015EBB">
        <w:t xml:space="preserve"> should maintain and support the environmentally progressive</w:t>
      </w:r>
      <w:r>
        <w:t xml:space="preserve"> outcomes achieved under the three </w:t>
      </w:r>
      <w:r w:rsidR="00015EBB">
        <w:t xml:space="preserve"> previous NAPs and continue to secure consistency with the EU Nitrates Directive</w:t>
      </w:r>
      <w:r w:rsidR="002F5E61">
        <w:t>;</w:t>
      </w:r>
    </w:p>
    <w:p w:rsidR="00015EBB" w:rsidRDefault="00015EBB" w:rsidP="002128CD">
      <w:pPr>
        <w:numPr>
          <w:ilvl w:val="0"/>
          <w:numId w:val="1"/>
        </w:numPr>
        <w:spacing w:after="0" w:line="240" w:lineRule="auto"/>
        <w:jc w:val="both"/>
      </w:pPr>
      <w:r>
        <w:t>that the present review should</w:t>
      </w:r>
      <w:r w:rsidR="00481AAA">
        <w:t xml:space="preserve"> </w:t>
      </w:r>
      <w:r>
        <w:t xml:space="preserve">seek incremental improvements to the existing NAP </w:t>
      </w:r>
      <w:r w:rsidR="00952EAD">
        <w:t>that will build on</w:t>
      </w:r>
      <w:r>
        <w:t xml:space="preserve"> the considerable achievements</w:t>
      </w:r>
      <w:r w:rsidR="00481AAA">
        <w:t xml:space="preserve"> made to date</w:t>
      </w:r>
      <w:r w:rsidR="002F5E61">
        <w:t xml:space="preserve"> and contribute to the delivery of</w:t>
      </w:r>
      <w:r w:rsidR="0094030E">
        <w:t xml:space="preserve"> Water Framework Directive (</w:t>
      </w:r>
      <w:r w:rsidR="002F5E61">
        <w:t>WFD</w:t>
      </w:r>
      <w:r w:rsidR="0094030E">
        <w:t>)</w:t>
      </w:r>
      <w:r w:rsidR="00536155">
        <w:t xml:space="preserve"> objectives</w:t>
      </w:r>
      <w:r w:rsidR="00895698">
        <w:t>; and</w:t>
      </w:r>
    </w:p>
    <w:p w:rsidR="00375CF3" w:rsidRPr="002F5E61" w:rsidRDefault="00375CF3" w:rsidP="002128CD">
      <w:pPr>
        <w:numPr>
          <w:ilvl w:val="0"/>
          <w:numId w:val="1"/>
        </w:numPr>
        <w:spacing w:after="0" w:line="240" w:lineRule="auto"/>
        <w:jc w:val="both"/>
      </w:pPr>
      <w:r>
        <w:t xml:space="preserve">that the NAP4 regime should be designed to operate as efficiently as possible, taking into account the </w:t>
      </w:r>
      <w:r w:rsidRPr="002F5E61">
        <w:t>o</w:t>
      </w:r>
      <w:r>
        <w:t>bjectives for Irish agriculture</w:t>
      </w:r>
      <w:r w:rsidRPr="002F5E61">
        <w:t xml:space="preserve"> as set out in Food Harvest 2020</w:t>
      </w:r>
      <w:r>
        <w:t xml:space="preserve"> and Food Wise 2025</w:t>
      </w:r>
      <w:r w:rsidRPr="002F5E61">
        <w:t>,</w:t>
      </w:r>
      <w:r>
        <w:t xml:space="preserve"> including </w:t>
      </w:r>
      <w:r w:rsidRPr="002F5E61">
        <w:t>sustainable farming practices</w:t>
      </w:r>
      <w:r>
        <w:t xml:space="preserve"> objectives and also climate </w:t>
      </w:r>
      <w:r w:rsidR="00895698">
        <w:t>change objectives.</w:t>
      </w:r>
    </w:p>
    <w:p w:rsidR="004C048C" w:rsidRDefault="004C048C" w:rsidP="002128CD">
      <w:pPr>
        <w:spacing w:after="0" w:line="240" w:lineRule="auto"/>
        <w:ind w:left="720"/>
        <w:jc w:val="both"/>
      </w:pPr>
    </w:p>
    <w:p w:rsidR="0074223A" w:rsidRDefault="0074223A">
      <w:pPr>
        <w:spacing w:after="0" w:line="240" w:lineRule="auto"/>
        <w:rPr>
          <w:b/>
          <w:u w:val="single"/>
        </w:rPr>
      </w:pPr>
      <w:r>
        <w:rPr>
          <w:b/>
          <w:u w:val="single"/>
        </w:rPr>
        <w:br w:type="page"/>
      </w:r>
    </w:p>
    <w:p w:rsidR="009F3D67" w:rsidRDefault="00C21CDD" w:rsidP="004C048C">
      <w:pPr>
        <w:spacing w:after="0" w:line="240" w:lineRule="auto"/>
        <w:rPr>
          <w:b/>
          <w:u w:val="single"/>
        </w:rPr>
      </w:pPr>
      <w:r>
        <w:rPr>
          <w:b/>
          <w:u w:val="single"/>
        </w:rPr>
        <w:lastRenderedPageBreak/>
        <w:t xml:space="preserve">2. </w:t>
      </w:r>
      <w:r w:rsidR="009F3D67" w:rsidRPr="009F3D67">
        <w:rPr>
          <w:b/>
          <w:u w:val="single"/>
        </w:rPr>
        <w:t>Background and Context</w:t>
      </w:r>
    </w:p>
    <w:p w:rsidR="004C048C" w:rsidRDefault="004C048C" w:rsidP="004C048C">
      <w:pPr>
        <w:spacing w:after="0" w:line="240" w:lineRule="auto"/>
        <w:rPr>
          <w:b/>
          <w:u w:val="single"/>
        </w:rPr>
      </w:pPr>
    </w:p>
    <w:p w:rsidR="00BA3585" w:rsidRPr="00CA003A" w:rsidRDefault="00F73362" w:rsidP="004C048C">
      <w:pPr>
        <w:spacing w:after="0" w:line="240" w:lineRule="auto"/>
        <w:rPr>
          <w:rFonts w:eastAsia="Times New Roman" w:cs="Calibri"/>
          <w:b/>
          <w:lang w:eastAsia="en-IE"/>
        </w:rPr>
      </w:pPr>
      <w:r w:rsidRPr="00CA003A">
        <w:rPr>
          <w:rFonts w:cs="Calibri"/>
          <w:b/>
          <w:lang w:val="en-GB"/>
        </w:rPr>
        <w:t>2.1 Water</w:t>
      </w:r>
      <w:r w:rsidR="00BA3585" w:rsidRPr="00CA003A">
        <w:rPr>
          <w:rFonts w:cs="Calibri"/>
          <w:b/>
          <w:lang w:val="en-GB"/>
        </w:rPr>
        <w:t xml:space="preserve"> Framework Directive, 2</w:t>
      </w:r>
      <w:r w:rsidR="00BA3585" w:rsidRPr="00CA003A">
        <w:rPr>
          <w:rFonts w:cs="Calibri"/>
          <w:b/>
          <w:vertAlign w:val="superscript"/>
          <w:lang w:val="en-GB"/>
        </w:rPr>
        <w:t xml:space="preserve">nd </w:t>
      </w:r>
      <w:r w:rsidR="00BA3585" w:rsidRPr="00CA003A">
        <w:rPr>
          <w:rFonts w:eastAsia="Times New Roman" w:cs="Calibri"/>
          <w:b/>
          <w:lang w:eastAsia="en-IE"/>
        </w:rPr>
        <w:t xml:space="preserve">Cycle River Basin Management Plan </w:t>
      </w:r>
    </w:p>
    <w:p w:rsidR="005A0A58" w:rsidRDefault="005A0A58" w:rsidP="004C048C">
      <w:pPr>
        <w:pStyle w:val="NormalWeb"/>
        <w:spacing w:before="0" w:after="0"/>
        <w:rPr>
          <w:rFonts w:ascii="Calibri" w:hAnsi="Calibri" w:cs="Calibri"/>
          <w:sz w:val="22"/>
          <w:szCs w:val="22"/>
          <w:lang w:val="en-GB"/>
        </w:rPr>
      </w:pPr>
    </w:p>
    <w:p w:rsidR="00BA3585" w:rsidRDefault="00BA3585" w:rsidP="002128CD">
      <w:pPr>
        <w:pStyle w:val="NormalWeb"/>
        <w:spacing w:before="0" w:after="0"/>
        <w:jc w:val="both"/>
        <w:rPr>
          <w:rFonts w:ascii="Calibri" w:hAnsi="Calibri" w:cs="Calibri"/>
          <w:sz w:val="22"/>
          <w:szCs w:val="22"/>
          <w:lang w:val="en-GB"/>
        </w:rPr>
      </w:pPr>
      <w:r w:rsidRPr="00891E9C">
        <w:rPr>
          <w:rFonts w:ascii="Calibri" w:hAnsi="Calibri" w:cs="Calibri"/>
          <w:sz w:val="22"/>
          <w:szCs w:val="22"/>
          <w:lang w:val="en-GB"/>
        </w:rPr>
        <w:t>The overarching aim of the Water Framework Directive is to achieve at least good status for all water bodies. It aims to do so by ensuring effective water management based on river basins and catchments.</w:t>
      </w:r>
    </w:p>
    <w:p w:rsidR="00BA3585" w:rsidRPr="00891E9C" w:rsidRDefault="00BA3585" w:rsidP="002128CD">
      <w:pPr>
        <w:pStyle w:val="NormalWeb"/>
        <w:spacing w:before="0" w:after="0"/>
        <w:jc w:val="both"/>
        <w:rPr>
          <w:rFonts w:ascii="Calibri" w:hAnsi="Calibri" w:cs="Calibri"/>
          <w:sz w:val="22"/>
          <w:szCs w:val="22"/>
          <w:lang w:val="en-GB"/>
        </w:rPr>
      </w:pPr>
    </w:p>
    <w:p w:rsidR="00BA3585" w:rsidRDefault="00BA3585" w:rsidP="002128CD">
      <w:pPr>
        <w:pStyle w:val="NormalWeb"/>
        <w:spacing w:before="0" w:after="0"/>
        <w:jc w:val="both"/>
        <w:rPr>
          <w:rFonts w:ascii="Calibri" w:hAnsi="Calibri" w:cs="Calibri"/>
          <w:sz w:val="22"/>
          <w:szCs w:val="22"/>
          <w:lang w:val="en-GB"/>
        </w:rPr>
      </w:pPr>
      <w:r w:rsidRPr="00891E9C">
        <w:rPr>
          <w:rFonts w:ascii="Calibri" w:hAnsi="Calibri" w:cs="Calibri"/>
          <w:sz w:val="22"/>
          <w:szCs w:val="22"/>
          <w:lang w:val="en-GB"/>
        </w:rPr>
        <w:t xml:space="preserve">A central element of the Directive is the requirement for member states to produce River Basin Management Plans. These plans must, amongst other things, assess the environmental pressures causing water bodies to be at risk of not meeting </w:t>
      </w:r>
      <w:r w:rsidR="00B008E9">
        <w:rPr>
          <w:rFonts w:ascii="Calibri" w:hAnsi="Calibri" w:cs="Calibri"/>
          <w:sz w:val="22"/>
          <w:szCs w:val="22"/>
          <w:lang w:val="en-GB"/>
        </w:rPr>
        <w:t>the objectives of the Directive.</w:t>
      </w:r>
      <w:r w:rsidRPr="00891E9C">
        <w:rPr>
          <w:rFonts w:ascii="Calibri" w:hAnsi="Calibri" w:cs="Calibri"/>
          <w:sz w:val="22"/>
          <w:szCs w:val="22"/>
          <w:lang w:val="en-GB"/>
        </w:rPr>
        <w:t xml:space="preserve">  Based on this assessment a programme of measure</w:t>
      </w:r>
      <w:r w:rsidR="0094030E">
        <w:rPr>
          <w:rFonts w:ascii="Calibri" w:hAnsi="Calibri" w:cs="Calibri"/>
          <w:sz w:val="22"/>
          <w:szCs w:val="22"/>
          <w:lang w:val="en-GB"/>
        </w:rPr>
        <w:t>s</w:t>
      </w:r>
      <w:r w:rsidR="0078170C">
        <w:rPr>
          <w:rFonts w:ascii="Calibri" w:hAnsi="Calibri" w:cs="Calibri"/>
          <w:sz w:val="22"/>
          <w:szCs w:val="22"/>
          <w:lang w:val="en-GB"/>
        </w:rPr>
        <w:t xml:space="preserve"> </w:t>
      </w:r>
      <w:r w:rsidR="00B008E9">
        <w:rPr>
          <w:rFonts w:ascii="Calibri" w:hAnsi="Calibri" w:cs="Calibri"/>
          <w:sz w:val="22"/>
          <w:szCs w:val="22"/>
          <w:lang w:val="en-GB"/>
        </w:rPr>
        <w:t>is required</w:t>
      </w:r>
      <w:r w:rsidRPr="00891E9C">
        <w:rPr>
          <w:rFonts w:ascii="Calibri" w:hAnsi="Calibri" w:cs="Calibri"/>
          <w:sz w:val="22"/>
          <w:szCs w:val="22"/>
          <w:lang w:val="en-GB"/>
        </w:rPr>
        <w:t xml:space="preserve"> to address the significant pressures on such water bodies.</w:t>
      </w:r>
    </w:p>
    <w:p w:rsidR="00BA3585" w:rsidRPr="00891E9C" w:rsidRDefault="00BA3585" w:rsidP="002128CD">
      <w:pPr>
        <w:pStyle w:val="NormalWeb"/>
        <w:spacing w:before="0" w:after="0"/>
        <w:jc w:val="both"/>
        <w:rPr>
          <w:rFonts w:ascii="Calibri" w:hAnsi="Calibri" w:cs="Calibri"/>
          <w:sz w:val="22"/>
          <w:szCs w:val="22"/>
          <w:lang w:val="en-GB"/>
        </w:rPr>
      </w:pPr>
    </w:p>
    <w:p w:rsidR="00BA3585" w:rsidRDefault="00BA3585" w:rsidP="002128CD">
      <w:pPr>
        <w:pStyle w:val="NormalWeb"/>
        <w:spacing w:before="0" w:after="0"/>
        <w:jc w:val="both"/>
        <w:rPr>
          <w:rFonts w:ascii="Calibri" w:hAnsi="Calibri" w:cs="Calibri"/>
          <w:sz w:val="22"/>
          <w:szCs w:val="22"/>
          <w:lang w:val="en-GB"/>
        </w:rPr>
      </w:pPr>
      <w:r w:rsidRPr="00891E9C">
        <w:rPr>
          <w:rFonts w:ascii="Calibri" w:hAnsi="Calibri" w:cs="Calibri"/>
          <w:sz w:val="22"/>
          <w:szCs w:val="22"/>
          <w:lang w:val="en-GB"/>
        </w:rPr>
        <w:t xml:space="preserve">Ireland’s first cycle plan covered the period </w:t>
      </w:r>
      <w:r w:rsidR="00F73362" w:rsidRPr="00891E9C">
        <w:rPr>
          <w:rFonts w:ascii="Calibri" w:hAnsi="Calibri" w:cs="Calibri"/>
          <w:sz w:val="22"/>
          <w:szCs w:val="22"/>
          <w:lang w:val="en-GB"/>
        </w:rPr>
        <w:t>2009-2015</w:t>
      </w:r>
      <w:r w:rsidRPr="00891E9C">
        <w:rPr>
          <w:rFonts w:ascii="Calibri" w:hAnsi="Calibri" w:cs="Calibri"/>
          <w:sz w:val="22"/>
          <w:szCs w:val="22"/>
          <w:lang w:val="en-GB"/>
        </w:rPr>
        <w:t xml:space="preserve"> and a draft second cycle River Basin Management Plan </w:t>
      </w:r>
      <w:r>
        <w:rPr>
          <w:rFonts w:ascii="Calibri" w:hAnsi="Calibri" w:cs="Calibri"/>
          <w:sz w:val="22"/>
          <w:szCs w:val="22"/>
          <w:lang w:val="en-GB"/>
        </w:rPr>
        <w:t xml:space="preserve">for 2018 -2021 </w:t>
      </w:r>
      <w:r w:rsidRPr="00891E9C">
        <w:rPr>
          <w:rFonts w:ascii="Calibri" w:hAnsi="Calibri" w:cs="Calibri"/>
          <w:sz w:val="22"/>
          <w:szCs w:val="22"/>
          <w:lang w:val="en-GB"/>
        </w:rPr>
        <w:t>has been published for public consultation. As required, this draft plan provides an assessment of the pressures on the water environment in Ireland, and the proposed programme of measures to be implemented in the period to 2021.</w:t>
      </w:r>
    </w:p>
    <w:p w:rsidR="00BA3585" w:rsidRDefault="00BA3585" w:rsidP="002128CD">
      <w:pPr>
        <w:pStyle w:val="NormalWeb"/>
        <w:spacing w:before="0" w:after="0"/>
        <w:jc w:val="both"/>
        <w:rPr>
          <w:rFonts w:ascii="Calibri" w:hAnsi="Calibri" w:cs="Calibri"/>
          <w:sz w:val="22"/>
          <w:szCs w:val="22"/>
          <w:lang w:val="en-GB"/>
        </w:rPr>
      </w:pPr>
    </w:p>
    <w:p w:rsidR="00BA3585" w:rsidRDefault="00BA3585" w:rsidP="002128CD">
      <w:pPr>
        <w:pStyle w:val="NormalWeb"/>
        <w:spacing w:before="0" w:after="0"/>
        <w:jc w:val="both"/>
        <w:rPr>
          <w:rFonts w:ascii="Calibri" w:hAnsi="Calibri" w:cs="Calibri"/>
          <w:sz w:val="22"/>
          <w:szCs w:val="22"/>
          <w:lang w:val="en-GB"/>
        </w:rPr>
      </w:pPr>
      <w:r w:rsidRPr="00891E9C">
        <w:rPr>
          <w:rFonts w:ascii="Calibri" w:hAnsi="Calibri" w:cs="Calibri"/>
          <w:sz w:val="22"/>
          <w:szCs w:val="22"/>
          <w:lang w:val="en-GB"/>
        </w:rPr>
        <w:t>The Nitrates Directive</w:t>
      </w:r>
      <w:r w:rsidR="0094030E">
        <w:rPr>
          <w:rFonts w:ascii="Calibri" w:hAnsi="Calibri" w:cs="Calibri"/>
          <w:sz w:val="22"/>
          <w:szCs w:val="22"/>
          <w:lang w:val="en-GB"/>
        </w:rPr>
        <w:t>, implemented by means of the Nitrates Action Programme,</w:t>
      </w:r>
      <w:r w:rsidRPr="00891E9C">
        <w:rPr>
          <w:rFonts w:ascii="Calibri" w:hAnsi="Calibri" w:cs="Calibri"/>
          <w:sz w:val="22"/>
          <w:szCs w:val="22"/>
          <w:lang w:val="en-GB"/>
        </w:rPr>
        <w:t xml:space="preserve"> is the basic agricultural measure in the draft River Basin Management Plan for the protection of waters from agricultural sources. </w:t>
      </w:r>
      <w:r w:rsidR="004F570E">
        <w:rPr>
          <w:rFonts w:ascii="Calibri" w:hAnsi="Calibri" w:cs="Calibri"/>
          <w:sz w:val="22"/>
          <w:szCs w:val="22"/>
          <w:lang w:val="en-GB"/>
        </w:rPr>
        <w:t>T</w:t>
      </w:r>
      <w:r w:rsidR="001313F1">
        <w:rPr>
          <w:rFonts w:ascii="Calibri" w:hAnsi="Calibri" w:cs="Calibri"/>
          <w:sz w:val="22"/>
          <w:szCs w:val="22"/>
          <w:lang w:val="en-GB"/>
        </w:rPr>
        <w:t xml:space="preserve">he NAP is the key agricultural measure for </w:t>
      </w:r>
      <w:r w:rsidR="00874CBA">
        <w:rPr>
          <w:rFonts w:ascii="Calibri" w:hAnsi="Calibri" w:cs="Calibri"/>
          <w:sz w:val="22"/>
          <w:szCs w:val="22"/>
          <w:lang w:val="en-GB"/>
        </w:rPr>
        <w:t xml:space="preserve">preventing and reducing water pollution from nutrients (nitrogen and phosphorus) arising from </w:t>
      </w:r>
      <w:r w:rsidR="004F570E">
        <w:rPr>
          <w:rFonts w:ascii="Calibri" w:hAnsi="Calibri" w:cs="Calibri"/>
          <w:sz w:val="22"/>
          <w:szCs w:val="22"/>
          <w:lang w:val="en-GB"/>
        </w:rPr>
        <w:t>agricultural sources.  However, it is acknowledged that other compl</w:t>
      </w:r>
      <w:r w:rsidR="00681089">
        <w:rPr>
          <w:rFonts w:ascii="Calibri" w:hAnsi="Calibri" w:cs="Calibri"/>
          <w:sz w:val="22"/>
          <w:szCs w:val="22"/>
          <w:lang w:val="en-GB"/>
        </w:rPr>
        <w:t>e</w:t>
      </w:r>
      <w:r w:rsidR="004F570E">
        <w:rPr>
          <w:rFonts w:ascii="Calibri" w:hAnsi="Calibri" w:cs="Calibri"/>
          <w:sz w:val="22"/>
          <w:szCs w:val="22"/>
          <w:lang w:val="en-GB"/>
        </w:rPr>
        <w:t>mentary measures are necessary to reduce agricultural source pollution.  The draft second river basin management plan</w:t>
      </w:r>
      <w:r w:rsidR="004F570E">
        <w:rPr>
          <w:rStyle w:val="FootnoteReference"/>
          <w:rFonts w:ascii="Calibri" w:hAnsi="Calibri" w:cs="Calibri"/>
          <w:sz w:val="22"/>
          <w:szCs w:val="22"/>
          <w:lang w:val="en-GB"/>
        </w:rPr>
        <w:footnoteReference w:id="1"/>
      </w:r>
      <w:r w:rsidR="004F570E">
        <w:rPr>
          <w:rFonts w:ascii="Calibri" w:hAnsi="Calibri" w:cs="Calibri"/>
          <w:sz w:val="22"/>
          <w:szCs w:val="22"/>
          <w:lang w:val="en-GB"/>
        </w:rPr>
        <w:t xml:space="preserve"> </w:t>
      </w:r>
      <w:r w:rsidR="00CB7532">
        <w:rPr>
          <w:rFonts w:ascii="Calibri" w:hAnsi="Calibri" w:cs="Calibri"/>
          <w:sz w:val="22"/>
          <w:szCs w:val="22"/>
          <w:lang w:val="en-GB"/>
        </w:rPr>
        <w:t>identified these</w:t>
      </w:r>
      <w:r w:rsidR="004F570E">
        <w:rPr>
          <w:rFonts w:ascii="Calibri" w:hAnsi="Calibri" w:cs="Calibri"/>
          <w:sz w:val="22"/>
          <w:szCs w:val="22"/>
          <w:lang w:val="en-GB"/>
        </w:rPr>
        <w:t xml:space="preserve"> compl</w:t>
      </w:r>
      <w:r w:rsidR="00681089">
        <w:rPr>
          <w:rFonts w:ascii="Calibri" w:hAnsi="Calibri" w:cs="Calibri"/>
          <w:sz w:val="22"/>
          <w:szCs w:val="22"/>
          <w:lang w:val="en-GB"/>
        </w:rPr>
        <w:t>e</w:t>
      </w:r>
      <w:r w:rsidR="004F570E">
        <w:rPr>
          <w:rFonts w:ascii="Calibri" w:hAnsi="Calibri" w:cs="Calibri"/>
          <w:sz w:val="22"/>
          <w:szCs w:val="22"/>
          <w:lang w:val="en-GB"/>
        </w:rPr>
        <w:t>mentary measures</w:t>
      </w:r>
      <w:r w:rsidR="00CB7532">
        <w:rPr>
          <w:rFonts w:ascii="Calibri" w:hAnsi="Calibri" w:cs="Calibri"/>
          <w:sz w:val="22"/>
          <w:szCs w:val="22"/>
          <w:lang w:val="en-GB"/>
        </w:rPr>
        <w:t xml:space="preserve"> as (1) the Rural Development Programme (RDP) 2014-2020, (2) the Agricultural Catchment Programme (ACP), (3) Knowledge Transfer (KT) initiatives to promote the adoption of best environmental practices and (4) Monitoring and modelling initiatives to assess the impact of sectoral changes on water quality. </w:t>
      </w:r>
    </w:p>
    <w:p w:rsidR="00BA3585" w:rsidRPr="00891E9C" w:rsidRDefault="00BA3585" w:rsidP="002128CD">
      <w:pPr>
        <w:pStyle w:val="NormalWeb"/>
        <w:spacing w:before="0" w:after="0"/>
        <w:jc w:val="both"/>
        <w:rPr>
          <w:rFonts w:ascii="Calibri" w:hAnsi="Calibri" w:cs="Calibri"/>
          <w:sz w:val="22"/>
          <w:szCs w:val="22"/>
          <w:lang w:val="en-GB"/>
        </w:rPr>
      </w:pPr>
    </w:p>
    <w:p w:rsidR="00BA3585" w:rsidRPr="00891E9C" w:rsidRDefault="00BA3585" w:rsidP="002128CD">
      <w:pPr>
        <w:autoSpaceDE w:val="0"/>
        <w:autoSpaceDN w:val="0"/>
        <w:adjustRightInd w:val="0"/>
        <w:spacing w:after="0" w:line="240" w:lineRule="auto"/>
        <w:jc w:val="both"/>
        <w:rPr>
          <w:rFonts w:cs="Calibri"/>
        </w:rPr>
      </w:pPr>
      <w:r w:rsidRPr="00891E9C">
        <w:rPr>
          <w:rFonts w:cs="Calibri"/>
        </w:rPr>
        <w:t xml:space="preserve">Ireland’s Rural Development Programme (RDP) 2014-2020 includes further optional farm level measures which farmers can undertake if they wish to build on progress made under the regulatory baseline. In general, RDP measures are designed to protect and enhance natural resources and the landscapes in rural areas, and to contribute to the EU’s environmental priority areas of biodiversity, climate change and water quality. </w:t>
      </w:r>
    </w:p>
    <w:p w:rsidR="00BA3585" w:rsidRDefault="00BA3585" w:rsidP="004C048C">
      <w:pPr>
        <w:spacing w:after="0" w:line="240" w:lineRule="auto"/>
        <w:jc w:val="both"/>
      </w:pPr>
    </w:p>
    <w:p w:rsidR="009F3D67" w:rsidRDefault="00F73362" w:rsidP="004C048C">
      <w:pPr>
        <w:spacing w:after="0" w:line="240" w:lineRule="auto"/>
        <w:rPr>
          <w:b/>
        </w:rPr>
      </w:pPr>
      <w:r w:rsidRPr="006955D5">
        <w:rPr>
          <w:b/>
        </w:rPr>
        <w:t>2.2 Key</w:t>
      </w:r>
      <w:r w:rsidR="009F3D67" w:rsidRPr="006955D5">
        <w:rPr>
          <w:b/>
        </w:rPr>
        <w:t xml:space="preserve"> elements of Ireland’s NAP</w:t>
      </w:r>
    </w:p>
    <w:p w:rsidR="004C048C" w:rsidRPr="006955D5" w:rsidRDefault="004C048C" w:rsidP="004C048C">
      <w:pPr>
        <w:spacing w:after="0" w:line="240" w:lineRule="auto"/>
      </w:pPr>
    </w:p>
    <w:p w:rsidR="007103EE" w:rsidRDefault="0094030E" w:rsidP="002128CD">
      <w:pPr>
        <w:spacing w:after="0" w:line="240" w:lineRule="auto"/>
        <w:jc w:val="both"/>
      </w:pPr>
      <w:r>
        <w:t xml:space="preserve">Ireland </w:t>
      </w:r>
      <w:r w:rsidR="00526B49">
        <w:t xml:space="preserve">has applied its NAP on a </w:t>
      </w:r>
      <w:r w:rsidR="00375CF3">
        <w:t>whole territory</w:t>
      </w:r>
      <w:r w:rsidR="00526B49">
        <w:t xml:space="preserve"> basis, thus ensuring 100% territorial coverage</w:t>
      </w:r>
      <w:r w:rsidR="0078170C">
        <w:t>.</w:t>
      </w:r>
      <w:r w:rsidR="00526B49">
        <w:t xml:space="preserve">  </w:t>
      </w:r>
      <w:r w:rsidR="00526B49" w:rsidRPr="006B2AD0">
        <w:t>In addition, the Programme also p</w:t>
      </w:r>
      <w:r w:rsidR="00481AAA" w:rsidRPr="006B2AD0">
        <w:t xml:space="preserve">rovides for </w:t>
      </w:r>
      <w:r w:rsidR="00375CF3">
        <w:t xml:space="preserve">legally binding </w:t>
      </w:r>
      <w:r w:rsidR="00F503F4">
        <w:t>p</w:t>
      </w:r>
      <w:r w:rsidR="00481AAA" w:rsidRPr="006B2AD0">
        <w:t>hosphor</w:t>
      </w:r>
      <w:r w:rsidR="00526B49" w:rsidRPr="006B2AD0">
        <w:t xml:space="preserve">us </w:t>
      </w:r>
      <w:r w:rsidR="00F503F4">
        <w:t>limits for all crops</w:t>
      </w:r>
      <w:r>
        <w:t>.</w:t>
      </w:r>
      <w:r w:rsidR="00526B49" w:rsidRPr="006B2AD0">
        <w:t xml:space="preserve"> The scope of the NAP to date has been comprehensive, both in terms of addressing the major sources of agricultural nutrients and in covering a natio</w:t>
      </w:r>
      <w:r w:rsidR="00BE4CF0" w:rsidRPr="006B2AD0">
        <w:t xml:space="preserve">nal farming population of over </w:t>
      </w:r>
      <w:r w:rsidR="003C2972">
        <w:t>139,60</w:t>
      </w:r>
      <w:r w:rsidR="00F83A83" w:rsidRPr="006B2AD0">
        <w:t>0</w:t>
      </w:r>
      <w:r w:rsidR="00BE4CF0" w:rsidRPr="006B2AD0">
        <w:t xml:space="preserve"> </w:t>
      </w:r>
      <w:r w:rsidR="00526B49" w:rsidRPr="006B2AD0">
        <w:t>farm holdings</w:t>
      </w:r>
      <w:r w:rsidR="00B42CF4">
        <w:t>.</w:t>
      </w:r>
      <w:r w:rsidR="007103EE">
        <w:t xml:space="preserve"> </w:t>
      </w:r>
    </w:p>
    <w:p w:rsidR="00375CF3" w:rsidRPr="006B2AD0" w:rsidRDefault="00375CF3" w:rsidP="004C048C">
      <w:pPr>
        <w:spacing w:after="0" w:line="240" w:lineRule="auto"/>
      </w:pPr>
    </w:p>
    <w:p w:rsidR="00375CF3" w:rsidRDefault="001B47EF" w:rsidP="004C048C">
      <w:pPr>
        <w:spacing w:after="0" w:line="240" w:lineRule="auto"/>
      </w:pPr>
      <w:r>
        <w:t>The principal elements of the NA</w:t>
      </w:r>
      <w:r w:rsidR="00C21CDD">
        <w:t>P</w:t>
      </w:r>
      <w:r>
        <w:t xml:space="preserve"> include:</w:t>
      </w:r>
    </w:p>
    <w:p w:rsidR="001B47EF" w:rsidRDefault="00DD11CA" w:rsidP="004C048C">
      <w:pPr>
        <w:numPr>
          <w:ilvl w:val="0"/>
          <w:numId w:val="2"/>
        </w:numPr>
        <w:spacing w:after="0" w:line="240" w:lineRule="auto"/>
      </w:pPr>
      <w:r>
        <w:t>l</w:t>
      </w:r>
      <w:r w:rsidR="001B47EF">
        <w:t>imits on farm stocking rates</w:t>
      </w:r>
      <w:r w:rsidR="00895698">
        <w:t>;</w:t>
      </w:r>
    </w:p>
    <w:p w:rsidR="001B47EF" w:rsidRDefault="00F235A0" w:rsidP="004C048C">
      <w:pPr>
        <w:numPr>
          <w:ilvl w:val="0"/>
          <w:numId w:val="2"/>
        </w:numPr>
        <w:spacing w:after="0" w:line="240" w:lineRule="auto"/>
      </w:pPr>
      <w:r>
        <w:t>legal maxima for</w:t>
      </w:r>
      <w:r w:rsidR="001B47EF">
        <w:t xml:space="preserve"> </w:t>
      </w:r>
      <w:r>
        <w:t>nitrogen and phosphorus application rates</w:t>
      </w:r>
      <w:r w:rsidR="00895698">
        <w:t>;</w:t>
      </w:r>
    </w:p>
    <w:p w:rsidR="001B47EF" w:rsidRDefault="00952EAD" w:rsidP="004C048C">
      <w:pPr>
        <w:numPr>
          <w:ilvl w:val="0"/>
          <w:numId w:val="2"/>
        </w:numPr>
        <w:spacing w:after="0" w:line="240" w:lineRule="auto"/>
      </w:pPr>
      <w:r>
        <w:lastRenderedPageBreak/>
        <w:t xml:space="preserve">prohibited spreading </w:t>
      </w:r>
      <w:r w:rsidR="00DD11CA">
        <w:t xml:space="preserve">periods preventing the application of organic and chemical fertilisers during </w:t>
      </w:r>
      <w:r w:rsidR="00B42CF4">
        <w:t xml:space="preserve">more </w:t>
      </w:r>
      <w:r w:rsidR="00DD11CA">
        <w:t xml:space="preserve">environmentally vulnerable </w:t>
      </w:r>
      <w:r w:rsidR="002B3AB6">
        <w:t xml:space="preserve">times </w:t>
      </w:r>
      <w:r w:rsidR="00DD11CA">
        <w:t xml:space="preserve">of the </w:t>
      </w:r>
      <w:r>
        <w:t>year</w:t>
      </w:r>
      <w:r w:rsidR="00895698">
        <w:t>;</w:t>
      </w:r>
    </w:p>
    <w:p w:rsidR="00DD11CA" w:rsidRDefault="00DD11CA" w:rsidP="004C048C">
      <w:pPr>
        <w:numPr>
          <w:ilvl w:val="0"/>
          <w:numId w:val="2"/>
        </w:numPr>
        <w:spacing w:after="0" w:line="240" w:lineRule="auto"/>
      </w:pPr>
      <w:r>
        <w:t>minimum storage requirements for livestock manu</w:t>
      </w:r>
      <w:r w:rsidR="00895698">
        <w:t>res;</w:t>
      </w:r>
    </w:p>
    <w:p w:rsidR="00DD11CA" w:rsidRDefault="00DD11CA" w:rsidP="004C048C">
      <w:pPr>
        <w:numPr>
          <w:ilvl w:val="0"/>
          <w:numId w:val="2"/>
        </w:numPr>
        <w:spacing w:after="0" w:line="240" w:lineRule="auto"/>
      </w:pPr>
      <w:r>
        <w:t xml:space="preserve">requirements regarding maintenance </w:t>
      </w:r>
      <w:r w:rsidR="00F83A83">
        <w:t>of green cover in tillage lands</w:t>
      </w:r>
      <w:r w:rsidR="00F235A0">
        <w:t xml:space="preserve"> and</w:t>
      </w:r>
    </w:p>
    <w:p w:rsidR="00F83A83" w:rsidRDefault="00F83A83" w:rsidP="004C048C">
      <w:pPr>
        <w:numPr>
          <w:ilvl w:val="0"/>
          <w:numId w:val="2"/>
        </w:numPr>
        <w:spacing w:after="0" w:line="240" w:lineRule="auto"/>
      </w:pPr>
      <w:r>
        <w:t>set</w:t>
      </w:r>
      <w:r w:rsidR="00D71115">
        <w:t>-</w:t>
      </w:r>
      <w:r>
        <w:t>back distance</w:t>
      </w:r>
      <w:r w:rsidR="002B3AB6">
        <w:t>s</w:t>
      </w:r>
      <w:r>
        <w:t xml:space="preserve"> from waters</w:t>
      </w:r>
      <w:r w:rsidR="00FE032B">
        <w:t>.</w:t>
      </w:r>
    </w:p>
    <w:p w:rsidR="007103EE" w:rsidRDefault="007103EE" w:rsidP="004C048C">
      <w:pPr>
        <w:spacing w:after="0" w:line="240" w:lineRule="auto"/>
      </w:pPr>
    </w:p>
    <w:p w:rsidR="00DD11CA" w:rsidRDefault="00DD11CA" w:rsidP="002128CD">
      <w:pPr>
        <w:spacing w:after="0" w:line="240" w:lineRule="auto"/>
        <w:jc w:val="both"/>
      </w:pPr>
      <w:r>
        <w:t xml:space="preserve">In common with other EU member states in which intensive agricultural activity is practised, Ireland </w:t>
      </w:r>
      <w:r w:rsidR="0076564D">
        <w:t xml:space="preserve">has </w:t>
      </w:r>
      <w:r>
        <w:t xml:space="preserve">availed of a derogation from the 170kg </w:t>
      </w:r>
      <w:r w:rsidR="00481AAA">
        <w:t xml:space="preserve">livestock manure </w:t>
      </w:r>
      <w:r>
        <w:t xml:space="preserve">nitrogen limit </w:t>
      </w:r>
      <w:r w:rsidR="00377885">
        <w:t xml:space="preserve">as provided for in </w:t>
      </w:r>
      <w:r>
        <w:t>the Nitrates Directive</w:t>
      </w:r>
      <w:r w:rsidR="0076564D">
        <w:t>.</w:t>
      </w:r>
      <w:r>
        <w:t xml:space="preserve"> </w:t>
      </w:r>
      <w:r w:rsidR="00151446">
        <w:t>Such derogations are provided for where justif</w:t>
      </w:r>
      <w:r w:rsidR="00375CF3">
        <w:t>ied on the basis of</w:t>
      </w:r>
      <w:r w:rsidR="00895698">
        <w:t xml:space="preserve"> </w:t>
      </w:r>
      <w:r w:rsidR="00151446">
        <w:t xml:space="preserve">long growing seasons, crops with high nitrogen uptake, high net precipitation or the occurrence of soils with exceptionally high denitrification capacity.  </w:t>
      </w:r>
      <w:r w:rsidR="0076564D">
        <w:t>The derogation was</w:t>
      </w:r>
      <w:r>
        <w:t xml:space="preserve"> originally granted by the Commission in 2007 and renewed in 2010</w:t>
      </w:r>
      <w:r w:rsidR="00B77E20">
        <w:t xml:space="preserve"> and 2014</w:t>
      </w:r>
      <w:r>
        <w:t xml:space="preserve">.  </w:t>
      </w:r>
      <w:r w:rsidR="00481AAA">
        <w:t xml:space="preserve">Discussion </w:t>
      </w:r>
      <w:r w:rsidR="00895698">
        <w:t>is on</w:t>
      </w:r>
      <w:r>
        <w:t xml:space="preserve">going with the Commission to </w:t>
      </w:r>
      <w:r w:rsidR="00377885">
        <w:t xml:space="preserve">allow Ireland to continue to avail of </w:t>
      </w:r>
      <w:r>
        <w:t>this derogation.</w:t>
      </w:r>
    </w:p>
    <w:p w:rsidR="004C048C" w:rsidRDefault="004C048C" w:rsidP="004C048C">
      <w:pPr>
        <w:spacing w:after="0" w:line="240" w:lineRule="auto"/>
      </w:pPr>
    </w:p>
    <w:p w:rsidR="001E4AA9" w:rsidRDefault="007F1E54" w:rsidP="004C048C">
      <w:pPr>
        <w:spacing w:after="0" w:line="240" w:lineRule="auto"/>
        <w:jc w:val="both"/>
        <w:rPr>
          <w:rFonts w:cs="Calibri"/>
          <w:b/>
        </w:rPr>
      </w:pPr>
      <w:r>
        <w:rPr>
          <w:rFonts w:cs="Calibri"/>
          <w:b/>
        </w:rPr>
        <w:t>2.3 Water q</w:t>
      </w:r>
      <w:r w:rsidR="00E811DC">
        <w:rPr>
          <w:rFonts w:cs="Calibri"/>
          <w:b/>
        </w:rPr>
        <w:t>ual</w:t>
      </w:r>
      <w:r w:rsidR="00B008E9" w:rsidRPr="00B008E9">
        <w:rPr>
          <w:rFonts w:cs="Calibri"/>
          <w:b/>
        </w:rPr>
        <w:t>ity</w:t>
      </w:r>
    </w:p>
    <w:p w:rsidR="00375CF3" w:rsidRDefault="00375CF3" w:rsidP="004C048C">
      <w:pPr>
        <w:spacing w:after="0" w:line="240" w:lineRule="auto"/>
        <w:jc w:val="both"/>
        <w:rPr>
          <w:rFonts w:cs="Calibri"/>
          <w:b/>
        </w:rPr>
      </w:pPr>
    </w:p>
    <w:p w:rsidR="00740772" w:rsidRDefault="00536756" w:rsidP="00536756">
      <w:pPr>
        <w:spacing w:after="240" w:line="240" w:lineRule="auto"/>
        <w:jc w:val="both"/>
        <w:rPr>
          <w:rFonts w:cs="Calibri"/>
        </w:rPr>
      </w:pPr>
      <w:r w:rsidRPr="002002AC">
        <w:rPr>
          <w:rFonts w:cs="Calibri"/>
        </w:rPr>
        <w:t xml:space="preserve">In the </w:t>
      </w:r>
      <w:r>
        <w:rPr>
          <w:rFonts w:cs="Calibri"/>
        </w:rPr>
        <w:t>2012-2015 reporting period</w:t>
      </w:r>
      <w:r w:rsidR="00740772">
        <w:rPr>
          <w:rStyle w:val="FootnoteReference"/>
          <w:rFonts w:cs="Calibri"/>
        </w:rPr>
        <w:footnoteReference w:id="2"/>
      </w:r>
      <w:r w:rsidR="00740772" w:rsidRPr="002002AC">
        <w:rPr>
          <w:rFonts w:cs="Calibri"/>
        </w:rPr>
        <w:t xml:space="preserve">, nitrate concentrations across all water categories </w:t>
      </w:r>
      <w:r w:rsidR="00740772" w:rsidRPr="00EB66C3">
        <w:rPr>
          <w:rFonts w:cs="Calibri"/>
        </w:rPr>
        <w:t xml:space="preserve">(groundwater, rivers, lakes and transitional and coastal waters) </w:t>
      </w:r>
      <w:r w:rsidR="00740772" w:rsidRPr="002002AC">
        <w:rPr>
          <w:rFonts w:cs="Calibri"/>
        </w:rPr>
        <w:t xml:space="preserve">have remained stable. </w:t>
      </w:r>
      <w:r w:rsidR="00740772" w:rsidRPr="00EB66C3">
        <w:rPr>
          <w:rFonts w:cs="Calibri"/>
        </w:rPr>
        <w:t>Th</w:t>
      </w:r>
      <w:r w:rsidR="00740772">
        <w:rPr>
          <w:rFonts w:cs="Calibri"/>
        </w:rPr>
        <w:t>e relative stability highlights that the m</w:t>
      </w:r>
      <w:r w:rsidR="00740772" w:rsidRPr="002110DD">
        <w:rPr>
          <w:rFonts w:cs="Calibri"/>
        </w:rPr>
        <w:t xml:space="preserve">easures </w:t>
      </w:r>
      <w:r w:rsidR="00740772">
        <w:rPr>
          <w:rFonts w:cs="Calibri"/>
        </w:rPr>
        <w:t xml:space="preserve">operated </w:t>
      </w:r>
      <w:r w:rsidR="00740772" w:rsidRPr="002110DD">
        <w:rPr>
          <w:rFonts w:cs="Calibri"/>
        </w:rPr>
        <w:t xml:space="preserve">under the National Action Programmes </w:t>
      </w:r>
      <w:r w:rsidR="00740772">
        <w:rPr>
          <w:rFonts w:cs="Calibri"/>
        </w:rPr>
        <w:t>for the</w:t>
      </w:r>
      <w:r w:rsidR="00740772" w:rsidRPr="002110DD">
        <w:rPr>
          <w:rFonts w:cs="Calibri"/>
        </w:rPr>
        <w:t xml:space="preserve"> </w:t>
      </w:r>
      <w:r w:rsidR="00740772">
        <w:rPr>
          <w:rFonts w:cs="Calibri"/>
        </w:rPr>
        <w:t xml:space="preserve">last decade, such as improved nutrient use management, adherence with the prohibition of </w:t>
      </w:r>
      <w:r w:rsidR="00740772" w:rsidRPr="002110DD">
        <w:rPr>
          <w:rFonts w:cs="Calibri"/>
        </w:rPr>
        <w:t>organic fertiliser application</w:t>
      </w:r>
      <w:r w:rsidR="00740772">
        <w:rPr>
          <w:rFonts w:cs="Calibri"/>
        </w:rPr>
        <w:t xml:space="preserve"> spreading during the closed period and the development of approaches to identify management solutions in critical source areas to prevent nutrient and soil losses, are providing a good level of protection to waters. Nitrate, phosphorus and ecological response data for 2016</w:t>
      </w:r>
      <w:r w:rsidR="00740772">
        <w:rPr>
          <w:rStyle w:val="FootnoteReference"/>
          <w:rFonts w:cs="Calibri"/>
        </w:rPr>
        <w:footnoteReference w:id="3"/>
      </w:r>
      <w:r w:rsidR="00740772">
        <w:rPr>
          <w:rFonts w:cs="Calibri"/>
        </w:rPr>
        <w:t xml:space="preserve"> also confirm this relative stability </w:t>
      </w:r>
      <w:r w:rsidR="00740772" w:rsidRPr="00BC457A">
        <w:rPr>
          <w:rFonts w:cs="Calibri"/>
        </w:rPr>
        <w:t>although at a regional and local level there have been increases or decreases in concentrations</w:t>
      </w:r>
      <w:r w:rsidR="00740772">
        <w:rPr>
          <w:rFonts w:cs="Calibri"/>
        </w:rPr>
        <w:t>, with ecological improvement and deterioration</w:t>
      </w:r>
      <w:r w:rsidR="00740772" w:rsidRPr="00BC457A">
        <w:rPr>
          <w:rFonts w:cs="Calibri"/>
        </w:rPr>
        <w:t xml:space="preserve"> </w:t>
      </w:r>
      <w:r w:rsidR="00740772">
        <w:rPr>
          <w:rFonts w:cs="Calibri"/>
        </w:rPr>
        <w:t xml:space="preserve">also </w:t>
      </w:r>
      <w:r w:rsidR="00740772" w:rsidRPr="00BC457A">
        <w:rPr>
          <w:rFonts w:cs="Calibri"/>
        </w:rPr>
        <w:t>recorded in some water bodies</w:t>
      </w:r>
      <w:r w:rsidR="00740772">
        <w:rPr>
          <w:rFonts w:cs="Calibri"/>
        </w:rPr>
        <w:t>.</w:t>
      </w:r>
    </w:p>
    <w:p w:rsidR="00740772" w:rsidRDefault="00740772" w:rsidP="00536756">
      <w:pPr>
        <w:spacing w:after="240" w:line="240" w:lineRule="auto"/>
        <w:jc w:val="both"/>
        <w:rPr>
          <w:rFonts w:cs="Calibri"/>
        </w:rPr>
      </w:pPr>
      <w:r>
        <w:rPr>
          <w:rFonts w:cs="Calibri"/>
        </w:rPr>
        <w:t>At a water body level</w:t>
      </w:r>
      <w:r w:rsidRPr="002002AC">
        <w:rPr>
          <w:rFonts w:cs="Calibri"/>
        </w:rPr>
        <w:t xml:space="preserve">, there </w:t>
      </w:r>
      <w:r>
        <w:rPr>
          <w:rFonts w:cs="Calibri"/>
        </w:rPr>
        <w:t>was</w:t>
      </w:r>
      <w:r w:rsidRPr="002002AC">
        <w:rPr>
          <w:rFonts w:cs="Calibri"/>
        </w:rPr>
        <w:t xml:space="preserve"> an increase in max</w:t>
      </w:r>
      <w:r>
        <w:rPr>
          <w:rFonts w:cs="Calibri"/>
        </w:rPr>
        <w:t>imum nitrate concentrations for 47% (35 lakes) of all monitored lakes in the 2012-2015 reporting period</w:t>
      </w:r>
      <w:r w:rsidRPr="002002AC">
        <w:rPr>
          <w:rFonts w:cs="Calibri"/>
        </w:rPr>
        <w:t xml:space="preserve">. </w:t>
      </w:r>
      <w:r>
        <w:rPr>
          <w:rFonts w:cs="Calibri"/>
        </w:rPr>
        <w:t>Four transitional</w:t>
      </w:r>
      <w:r w:rsidRPr="002002AC">
        <w:rPr>
          <w:rFonts w:cs="Calibri"/>
        </w:rPr>
        <w:t xml:space="preserve"> water bodies and one </w:t>
      </w:r>
      <w:r>
        <w:rPr>
          <w:rFonts w:cs="Calibri"/>
        </w:rPr>
        <w:t>coastal water body</w:t>
      </w:r>
      <w:r w:rsidRPr="002002AC">
        <w:rPr>
          <w:rFonts w:cs="Calibri"/>
        </w:rPr>
        <w:t xml:space="preserve"> </w:t>
      </w:r>
      <w:r>
        <w:rPr>
          <w:rFonts w:cs="Calibri"/>
        </w:rPr>
        <w:t>were assessed as showing</w:t>
      </w:r>
      <w:r w:rsidRPr="002002AC">
        <w:rPr>
          <w:rFonts w:cs="Calibri"/>
        </w:rPr>
        <w:t xml:space="preserve"> a decline in trophic state</w:t>
      </w:r>
      <w:r w:rsidRPr="00590937">
        <w:rPr>
          <w:rFonts w:cs="Calibri"/>
        </w:rPr>
        <w:t xml:space="preserve"> </w:t>
      </w:r>
      <w:r>
        <w:rPr>
          <w:rFonts w:cs="Calibri"/>
        </w:rPr>
        <w:t>between 2008-2011 and 2012-2015. The increased maximum nitrate concentrations observed in many lakes and in</w:t>
      </w:r>
      <w:r w:rsidRPr="00BC457A">
        <w:rPr>
          <w:rFonts w:cs="Calibri"/>
        </w:rPr>
        <w:t>crease</w:t>
      </w:r>
      <w:r>
        <w:rPr>
          <w:rFonts w:cs="Calibri"/>
        </w:rPr>
        <w:t>d</w:t>
      </w:r>
      <w:r w:rsidRPr="00BC457A">
        <w:rPr>
          <w:rFonts w:cs="Calibri"/>
        </w:rPr>
        <w:t xml:space="preserve"> </w:t>
      </w:r>
      <w:r>
        <w:rPr>
          <w:rFonts w:cs="Calibri"/>
        </w:rPr>
        <w:t xml:space="preserve">nutrient </w:t>
      </w:r>
      <w:r w:rsidRPr="00BC457A">
        <w:rPr>
          <w:rFonts w:cs="Calibri"/>
        </w:rPr>
        <w:t>concentrations</w:t>
      </w:r>
      <w:r>
        <w:rPr>
          <w:rFonts w:cs="Calibri"/>
        </w:rPr>
        <w:t>, with associated ecological deterioration observed, observed in other water bodies does highlight the importance of adopting an integrated approach to catchment management and aligning agricultural management strategies with the objectives of the WFD, to prevent further deterioration in the status of waters.</w:t>
      </w:r>
    </w:p>
    <w:p w:rsidR="00740772" w:rsidRPr="002115E8" w:rsidRDefault="00740772" w:rsidP="00536756">
      <w:pPr>
        <w:spacing w:after="240" w:line="240" w:lineRule="auto"/>
        <w:jc w:val="both"/>
        <w:rPr>
          <w:rFonts w:cs="Calibri"/>
          <w:b/>
        </w:rPr>
      </w:pPr>
      <w:r w:rsidRPr="002115E8">
        <w:rPr>
          <w:rFonts w:cs="Calibri"/>
          <w:b/>
        </w:rPr>
        <w:t>Groundwater</w:t>
      </w:r>
    </w:p>
    <w:p w:rsidR="00740772" w:rsidRDefault="00740772" w:rsidP="00536756">
      <w:pPr>
        <w:spacing w:after="240" w:line="240" w:lineRule="auto"/>
        <w:jc w:val="both"/>
        <w:rPr>
          <w:rFonts w:cs="Calibri"/>
          <w:lang w:val="en-US"/>
        </w:rPr>
      </w:pPr>
      <w:r w:rsidRPr="00377885">
        <w:rPr>
          <w:rFonts w:cs="Calibri"/>
        </w:rPr>
        <w:t>In 201</w:t>
      </w:r>
      <w:r>
        <w:rPr>
          <w:rFonts w:cs="Calibri"/>
        </w:rPr>
        <w:t>6</w:t>
      </w:r>
      <w:r w:rsidRPr="00377885">
        <w:rPr>
          <w:rFonts w:cs="Calibri"/>
        </w:rPr>
        <w:t xml:space="preserve"> </w:t>
      </w:r>
      <w:r w:rsidRPr="00377885">
        <w:rPr>
          <w:rFonts w:cs="Calibri"/>
          <w:lang w:val="en-US"/>
        </w:rPr>
        <w:t>average nitrate c</w:t>
      </w:r>
      <w:r>
        <w:rPr>
          <w:rFonts w:cs="Calibri"/>
          <w:lang w:val="en-US"/>
        </w:rPr>
        <w:t xml:space="preserve">oncentrations were less than </w:t>
      </w:r>
      <w:r w:rsidRPr="00EB66C3">
        <w:rPr>
          <w:rFonts w:cs="Calibri"/>
          <w:lang w:val="en-US"/>
        </w:rPr>
        <w:t>25</w:t>
      </w:r>
      <w:r>
        <w:rPr>
          <w:rFonts w:cs="Calibri"/>
          <w:lang w:val="en-US"/>
        </w:rPr>
        <w:t>mg/l NO</w:t>
      </w:r>
      <w:r w:rsidRPr="00EB66C3">
        <w:rPr>
          <w:rFonts w:cs="Calibri"/>
          <w:vertAlign w:val="subscript"/>
          <w:lang w:val="en-US"/>
        </w:rPr>
        <w:t>3</w:t>
      </w:r>
      <w:r w:rsidRPr="00EB66C3">
        <w:rPr>
          <w:rFonts w:cs="Calibri"/>
          <w:lang w:val="en-US"/>
        </w:rPr>
        <w:t xml:space="preserve"> at 8</w:t>
      </w:r>
      <w:r>
        <w:rPr>
          <w:rFonts w:cs="Calibri"/>
          <w:lang w:val="en-US"/>
        </w:rPr>
        <w:t>3</w:t>
      </w:r>
      <w:r w:rsidRPr="00EB66C3">
        <w:rPr>
          <w:rFonts w:cs="Calibri"/>
          <w:lang w:val="en-US"/>
        </w:rPr>
        <w:t xml:space="preserve">% of </w:t>
      </w:r>
      <w:r>
        <w:rPr>
          <w:rFonts w:cs="Calibri"/>
          <w:lang w:val="en-US"/>
        </w:rPr>
        <w:t xml:space="preserve">groundwater </w:t>
      </w:r>
      <w:r w:rsidRPr="00EB66C3">
        <w:rPr>
          <w:rFonts w:cs="Calibri"/>
          <w:lang w:val="en-US"/>
        </w:rPr>
        <w:t xml:space="preserve">monitoring </w:t>
      </w:r>
      <w:r>
        <w:rPr>
          <w:rFonts w:cs="Calibri"/>
          <w:lang w:val="en-US"/>
        </w:rPr>
        <w:t>site</w:t>
      </w:r>
      <w:r w:rsidRPr="00EB66C3">
        <w:rPr>
          <w:rFonts w:cs="Calibri"/>
          <w:lang w:val="en-US"/>
        </w:rPr>
        <w:t xml:space="preserve">s and </w:t>
      </w:r>
      <w:r>
        <w:rPr>
          <w:rFonts w:cs="Calibri"/>
          <w:lang w:val="en-US"/>
        </w:rPr>
        <w:t xml:space="preserve">less than </w:t>
      </w:r>
      <w:r w:rsidRPr="00EB66C3">
        <w:rPr>
          <w:rFonts w:cs="Calibri"/>
          <w:lang w:val="en-US"/>
        </w:rPr>
        <w:t xml:space="preserve">50 </w:t>
      </w:r>
      <w:r>
        <w:rPr>
          <w:rFonts w:cs="Calibri"/>
          <w:lang w:val="en-US"/>
        </w:rPr>
        <w:t>mg/l NO</w:t>
      </w:r>
      <w:r w:rsidRPr="00EB66C3">
        <w:rPr>
          <w:rFonts w:cs="Calibri"/>
          <w:vertAlign w:val="subscript"/>
          <w:lang w:val="en-US"/>
        </w:rPr>
        <w:t>3</w:t>
      </w:r>
      <w:r>
        <w:rPr>
          <w:rFonts w:cs="Calibri"/>
          <w:vertAlign w:val="subscript"/>
          <w:lang w:val="en-US"/>
        </w:rPr>
        <w:t xml:space="preserve"> </w:t>
      </w:r>
      <w:r w:rsidRPr="00305444">
        <w:rPr>
          <w:rFonts w:cs="Calibri"/>
          <w:lang w:val="en-US"/>
        </w:rPr>
        <w:t>at a</w:t>
      </w:r>
      <w:r>
        <w:rPr>
          <w:rFonts w:cs="Calibri"/>
          <w:lang w:val="en-US"/>
        </w:rPr>
        <w:t>l</w:t>
      </w:r>
      <w:r w:rsidRPr="00305444">
        <w:rPr>
          <w:rFonts w:cs="Calibri"/>
          <w:lang w:val="en-US"/>
        </w:rPr>
        <w:t>l</w:t>
      </w:r>
      <w:r>
        <w:rPr>
          <w:rFonts w:cs="Calibri"/>
          <w:lang w:val="en-US"/>
        </w:rPr>
        <w:t xml:space="preserve"> bar two sites</w:t>
      </w:r>
      <w:r w:rsidRPr="00305444">
        <w:rPr>
          <w:rFonts w:cs="Calibri"/>
          <w:lang w:val="en-US"/>
        </w:rPr>
        <w:t>.</w:t>
      </w:r>
      <w:r>
        <w:rPr>
          <w:rFonts w:cs="Calibri"/>
          <w:lang w:val="en-US"/>
        </w:rPr>
        <w:t xml:space="preserve">  </w:t>
      </w:r>
      <w:r w:rsidRPr="001643D8">
        <w:rPr>
          <w:rFonts w:cs="Calibri"/>
          <w:lang w:val="en-US"/>
        </w:rPr>
        <w:t>Generally</w:t>
      </w:r>
      <w:r>
        <w:rPr>
          <w:rFonts w:cs="Calibri"/>
          <w:lang w:val="en-US"/>
        </w:rPr>
        <w:t>, higher concentrations are found in t</w:t>
      </w:r>
      <w:r w:rsidRPr="001643D8">
        <w:rPr>
          <w:rFonts w:cs="Calibri"/>
          <w:lang w:val="en-US"/>
        </w:rPr>
        <w:t>he south and southeast of the country</w:t>
      </w:r>
      <w:r>
        <w:rPr>
          <w:rFonts w:cs="Calibri"/>
          <w:lang w:val="en-US"/>
        </w:rPr>
        <w:t xml:space="preserve">. </w:t>
      </w:r>
      <w:r w:rsidRPr="00B70139">
        <w:rPr>
          <w:rFonts w:cs="Calibri"/>
          <w:lang w:val="en-US"/>
        </w:rPr>
        <w:t xml:space="preserve">There has been an overall decline in nitrate concentrations in groundwater </w:t>
      </w:r>
      <w:r>
        <w:rPr>
          <w:rFonts w:cs="Calibri"/>
          <w:lang w:val="en-US"/>
        </w:rPr>
        <w:t>since</w:t>
      </w:r>
      <w:r w:rsidRPr="00B70139">
        <w:rPr>
          <w:rFonts w:cs="Calibri"/>
          <w:lang w:val="en-US"/>
        </w:rPr>
        <w:t xml:space="preserve"> 1995</w:t>
      </w:r>
      <w:r>
        <w:rPr>
          <w:rFonts w:cs="Calibri"/>
          <w:lang w:val="en-US"/>
        </w:rPr>
        <w:t>, although, since 2013, there has been a slight increase in nitrate concentrations nationally.</w:t>
      </w:r>
    </w:p>
    <w:p w:rsidR="00740772" w:rsidRDefault="00740772" w:rsidP="00536756">
      <w:pPr>
        <w:spacing w:after="240" w:line="240" w:lineRule="auto"/>
        <w:jc w:val="both"/>
        <w:rPr>
          <w:rFonts w:cs="Calibri"/>
          <w:lang w:val="en-US"/>
        </w:rPr>
      </w:pPr>
      <w:r w:rsidRPr="00FC50D3">
        <w:rPr>
          <w:rFonts w:cs="Calibri"/>
          <w:lang w:val="en-US"/>
        </w:rPr>
        <w:t>8</w:t>
      </w:r>
      <w:r>
        <w:rPr>
          <w:rFonts w:cs="Calibri"/>
          <w:lang w:val="en-US"/>
        </w:rPr>
        <w:t>6</w:t>
      </w:r>
      <w:r w:rsidRPr="00FC50D3">
        <w:rPr>
          <w:rFonts w:cs="Calibri"/>
          <w:lang w:val="en-US"/>
        </w:rPr>
        <w:t>.</w:t>
      </w:r>
      <w:r>
        <w:rPr>
          <w:rFonts w:cs="Calibri"/>
          <w:lang w:val="en-US"/>
        </w:rPr>
        <w:t>1</w:t>
      </w:r>
      <w:r w:rsidRPr="00FC50D3">
        <w:rPr>
          <w:rFonts w:cs="Calibri"/>
          <w:lang w:val="en-US"/>
        </w:rPr>
        <w:t xml:space="preserve">% of </w:t>
      </w:r>
      <w:r>
        <w:rPr>
          <w:rFonts w:cs="Calibri"/>
          <w:lang w:val="en-US"/>
        </w:rPr>
        <w:t xml:space="preserve">national groundwater </w:t>
      </w:r>
      <w:r w:rsidRPr="00FC50D3">
        <w:rPr>
          <w:rFonts w:cs="Calibri"/>
          <w:lang w:val="en-US"/>
        </w:rPr>
        <w:t xml:space="preserve">monitoring </w:t>
      </w:r>
      <w:r>
        <w:rPr>
          <w:rFonts w:cs="Calibri"/>
          <w:lang w:val="en-US"/>
        </w:rPr>
        <w:t>site</w:t>
      </w:r>
      <w:r w:rsidRPr="00FC50D3">
        <w:rPr>
          <w:rFonts w:cs="Calibri"/>
          <w:lang w:val="en-US"/>
        </w:rPr>
        <w:t xml:space="preserve">s had average </w:t>
      </w:r>
      <w:r>
        <w:rPr>
          <w:rFonts w:cs="Calibri"/>
          <w:lang w:val="en-US"/>
        </w:rPr>
        <w:t xml:space="preserve">phosphorus </w:t>
      </w:r>
      <w:r w:rsidRPr="00FC50D3">
        <w:rPr>
          <w:rFonts w:cs="Calibri"/>
          <w:lang w:val="en-US"/>
        </w:rPr>
        <w:t xml:space="preserve">concentrations </w:t>
      </w:r>
      <w:r>
        <w:rPr>
          <w:rFonts w:cs="Calibri"/>
          <w:lang w:val="en-US"/>
        </w:rPr>
        <w:t xml:space="preserve">less than </w:t>
      </w:r>
      <w:r w:rsidRPr="00FC50D3">
        <w:rPr>
          <w:rFonts w:cs="Calibri"/>
          <w:lang w:val="en-US"/>
        </w:rPr>
        <w:t xml:space="preserve">0.025mg/l P </w:t>
      </w:r>
      <w:r>
        <w:rPr>
          <w:rFonts w:cs="Calibri"/>
          <w:lang w:val="en-US"/>
        </w:rPr>
        <w:t>with</w:t>
      </w:r>
      <w:r w:rsidRPr="00FC50D3">
        <w:rPr>
          <w:rFonts w:cs="Calibri"/>
          <w:lang w:val="en-US"/>
        </w:rPr>
        <w:t xml:space="preserve"> only f</w:t>
      </w:r>
      <w:r>
        <w:rPr>
          <w:rFonts w:cs="Calibri"/>
          <w:lang w:val="en-US"/>
        </w:rPr>
        <w:t>ive</w:t>
      </w:r>
      <w:r w:rsidRPr="00FC50D3">
        <w:rPr>
          <w:rFonts w:cs="Calibri"/>
          <w:lang w:val="en-US"/>
        </w:rPr>
        <w:t xml:space="preserve"> (2</w:t>
      </w:r>
      <w:r>
        <w:rPr>
          <w:rFonts w:cs="Calibri"/>
          <w:lang w:val="en-US"/>
        </w:rPr>
        <w:t>.6</w:t>
      </w:r>
      <w:r w:rsidRPr="00FC50D3">
        <w:rPr>
          <w:rFonts w:cs="Calibri"/>
          <w:lang w:val="en-US"/>
        </w:rPr>
        <w:t xml:space="preserve">%) </w:t>
      </w:r>
      <w:r>
        <w:rPr>
          <w:rFonts w:cs="Calibri"/>
          <w:lang w:val="en-US"/>
        </w:rPr>
        <w:t>sites</w:t>
      </w:r>
      <w:r w:rsidRPr="00FC50D3">
        <w:rPr>
          <w:rFonts w:cs="Calibri"/>
          <w:lang w:val="en-US"/>
        </w:rPr>
        <w:t xml:space="preserve"> had an average concentration </w:t>
      </w:r>
      <w:r>
        <w:rPr>
          <w:rFonts w:cs="Calibri"/>
          <w:lang w:val="en-US"/>
        </w:rPr>
        <w:t xml:space="preserve">greater than </w:t>
      </w:r>
      <w:r w:rsidRPr="00FC50D3">
        <w:rPr>
          <w:rFonts w:cs="Calibri"/>
          <w:lang w:val="en-US"/>
        </w:rPr>
        <w:t>0.050mg/l P</w:t>
      </w:r>
      <w:r>
        <w:rPr>
          <w:rFonts w:cs="Calibri"/>
          <w:lang w:val="en-US"/>
        </w:rPr>
        <w:t xml:space="preserve"> in 2016</w:t>
      </w:r>
      <w:r w:rsidRPr="00FC50D3">
        <w:rPr>
          <w:rFonts w:cs="Calibri"/>
          <w:lang w:val="en-US"/>
        </w:rPr>
        <w:t>.</w:t>
      </w:r>
      <w:r>
        <w:rPr>
          <w:rFonts w:cs="Calibri"/>
          <w:lang w:val="en-US"/>
        </w:rPr>
        <w:t xml:space="preserve"> </w:t>
      </w:r>
      <w:r w:rsidRPr="001643D8">
        <w:rPr>
          <w:rFonts w:cs="Calibri"/>
          <w:lang w:val="en-US"/>
        </w:rPr>
        <w:t xml:space="preserve">The monitoring </w:t>
      </w:r>
      <w:r>
        <w:rPr>
          <w:rFonts w:cs="Calibri"/>
          <w:lang w:val="en-US"/>
        </w:rPr>
        <w:t>site</w:t>
      </w:r>
      <w:r w:rsidRPr="001643D8">
        <w:rPr>
          <w:rFonts w:cs="Calibri"/>
          <w:lang w:val="en-US"/>
        </w:rPr>
        <w:t xml:space="preserve">s with elevated phosphate concentrations are dispersed geographically. </w:t>
      </w:r>
    </w:p>
    <w:p w:rsidR="00740772" w:rsidRDefault="00740772" w:rsidP="00536756">
      <w:pPr>
        <w:spacing w:after="240" w:line="240" w:lineRule="auto"/>
        <w:jc w:val="both"/>
        <w:rPr>
          <w:rFonts w:cs="Calibri"/>
          <w:lang w:val="en-US"/>
        </w:rPr>
      </w:pPr>
      <w:r w:rsidRPr="001643D8">
        <w:rPr>
          <w:rFonts w:cs="Calibri"/>
          <w:lang w:val="en-US"/>
        </w:rPr>
        <w:lastRenderedPageBreak/>
        <w:t>Elevated phosphate concentrations in groundwater are attributed to the impact of diffuse pollution from agricultural sources and point source pollution from domestic wastewater treatment systems (generally septic tank systems) and farmyards, particularly in areas of extreme groundwater vulnerability.</w:t>
      </w:r>
      <w:r w:rsidRPr="00187980">
        <w:t xml:space="preserve"> </w:t>
      </w:r>
      <w:r w:rsidRPr="00187980">
        <w:rPr>
          <w:rFonts w:cs="Calibri"/>
          <w:lang w:val="en-US"/>
        </w:rPr>
        <w:t xml:space="preserve">The proportion of monitoring </w:t>
      </w:r>
      <w:r>
        <w:rPr>
          <w:rFonts w:cs="Calibri"/>
          <w:lang w:val="en-US"/>
        </w:rPr>
        <w:t>site</w:t>
      </w:r>
      <w:r w:rsidRPr="00187980">
        <w:rPr>
          <w:rFonts w:cs="Calibri"/>
          <w:lang w:val="en-US"/>
        </w:rPr>
        <w:t xml:space="preserve">s with an average phosphate concentration </w:t>
      </w:r>
      <w:r>
        <w:rPr>
          <w:rFonts w:cs="Calibri"/>
          <w:lang w:val="en-US"/>
        </w:rPr>
        <w:t xml:space="preserve">greater than </w:t>
      </w:r>
      <w:r w:rsidRPr="00187980">
        <w:rPr>
          <w:rFonts w:cs="Calibri"/>
          <w:lang w:val="en-US"/>
        </w:rPr>
        <w:t>0.035mg/l P in 201</w:t>
      </w:r>
      <w:r>
        <w:rPr>
          <w:rFonts w:cs="Calibri"/>
          <w:lang w:val="en-US"/>
        </w:rPr>
        <w:t>6</w:t>
      </w:r>
      <w:r w:rsidRPr="00187980">
        <w:rPr>
          <w:rFonts w:cs="Calibri"/>
          <w:lang w:val="en-US"/>
        </w:rPr>
        <w:t xml:space="preserve"> </w:t>
      </w:r>
      <w:r>
        <w:rPr>
          <w:rFonts w:cs="Calibri"/>
          <w:lang w:val="en-US"/>
        </w:rPr>
        <w:t xml:space="preserve">(7.7%) </w:t>
      </w:r>
      <w:r w:rsidRPr="00187980">
        <w:rPr>
          <w:rFonts w:cs="Calibri"/>
          <w:lang w:val="en-US"/>
        </w:rPr>
        <w:t>is less than in 201</w:t>
      </w:r>
      <w:r>
        <w:rPr>
          <w:rFonts w:cs="Calibri"/>
          <w:lang w:val="en-US"/>
        </w:rPr>
        <w:t>5</w:t>
      </w:r>
      <w:r w:rsidRPr="00187980">
        <w:rPr>
          <w:rFonts w:cs="Calibri"/>
          <w:lang w:val="en-US"/>
        </w:rPr>
        <w:t xml:space="preserve"> </w:t>
      </w:r>
      <w:r>
        <w:rPr>
          <w:rFonts w:cs="Calibri"/>
          <w:lang w:val="en-US"/>
        </w:rPr>
        <w:t xml:space="preserve">(9.3%) </w:t>
      </w:r>
      <w:r w:rsidRPr="00187980">
        <w:rPr>
          <w:rFonts w:cs="Calibri"/>
          <w:lang w:val="en-US"/>
        </w:rPr>
        <w:t>but is still higher than it was in 2008</w:t>
      </w:r>
      <w:r>
        <w:rPr>
          <w:rFonts w:cs="Calibri"/>
          <w:lang w:val="en-US"/>
        </w:rPr>
        <w:t xml:space="preserve"> (5.2%), 2009 (4.2%) or 2014 (7.2%)</w:t>
      </w:r>
      <w:r w:rsidRPr="00187980">
        <w:rPr>
          <w:rFonts w:cs="Calibri"/>
          <w:lang w:val="en-US"/>
        </w:rPr>
        <w:t>.</w:t>
      </w:r>
    </w:p>
    <w:p w:rsidR="00740772" w:rsidRPr="002115E8" w:rsidRDefault="00740772" w:rsidP="00536756">
      <w:pPr>
        <w:spacing w:after="240" w:line="240" w:lineRule="auto"/>
        <w:jc w:val="both"/>
        <w:rPr>
          <w:rFonts w:cs="Calibri"/>
          <w:b/>
          <w:lang w:val="en-US"/>
        </w:rPr>
      </w:pPr>
      <w:r w:rsidRPr="002115E8">
        <w:rPr>
          <w:rFonts w:cs="Calibri"/>
          <w:b/>
          <w:lang w:val="en-US"/>
        </w:rPr>
        <w:t>Rivers</w:t>
      </w:r>
    </w:p>
    <w:p w:rsidR="00740772" w:rsidRDefault="00740772" w:rsidP="00536756">
      <w:pPr>
        <w:spacing w:after="240" w:line="240" w:lineRule="auto"/>
        <w:jc w:val="both"/>
        <w:rPr>
          <w:rFonts w:cs="Calibri"/>
          <w:lang w:val="en-US"/>
        </w:rPr>
      </w:pPr>
      <w:r>
        <w:rPr>
          <w:rFonts w:cs="Calibri"/>
          <w:lang w:val="en-US"/>
        </w:rPr>
        <w:t xml:space="preserve">Nitrate concentrations have been relatively stable since 2009, and represent an improvement on the river nitrate concentrations measured since 1995.  In 2016, </w:t>
      </w:r>
      <w:r w:rsidRPr="00EB66C3">
        <w:rPr>
          <w:rFonts w:cs="Calibri"/>
        </w:rPr>
        <w:t>7</w:t>
      </w:r>
      <w:r>
        <w:rPr>
          <w:rFonts w:cs="Calibri"/>
        </w:rPr>
        <w:t>3.2</w:t>
      </w:r>
      <w:r w:rsidRPr="00EB66C3">
        <w:rPr>
          <w:rFonts w:cs="Calibri"/>
        </w:rPr>
        <w:t xml:space="preserve">% of river </w:t>
      </w:r>
      <w:r>
        <w:rPr>
          <w:rFonts w:cs="Calibri"/>
        </w:rPr>
        <w:t xml:space="preserve">monitoring </w:t>
      </w:r>
      <w:r w:rsidRPr="00EB66C3">
        <w:rPr>
          <w:rFonts w:cs="Calibri"/>
        </w:rPr>
        <w:t xml:space="preserve">sites </w:t>
      </w:r>
      <w:r>
        <w:rPr>
          <w:rFonts w:cs="Calibri"/>
        </w:rPr>
        <w:t xml:space="preserve">had average nitrate concentrations of less than </w:t>
      </w:r>
      <w:r w:rsidRPr="00EB66C3">
        <w:rPr>
          <w:rFonts w:cs="Calibri"/>
        </w:rPr>
        <w:t>10</w:t>
      </w:r>
      <w:r>
        <w:rPr>
          <w:rFonts w:cs="Calibri"/>
          <w:lang w:val="en-US"/>
        </w:rPr>
        <w:t>mg/l NO</w:t>
      </w:r>
      <w:r w:rsidRPr="00EB66C3">
        <w:rPr>
          <w:rFonts w:cs="Calibri"/>
          <w:vertAlign w:val="subscript"/>
          <w:lang w:val="en-US"/>
        </w:rPr>
        <w:t>3</w:t>
      </w:r>
      <w:r w:rsidRPr="00EB66C3">
        <w:rPr>
          <w:rFonts w:cs="Calibri"/>
        </w:rPr>
        <w:t>. 1</w:t>
      </w:r>
      <w:r>
        <w:rPr>
          <w:rFonts w:cs="Calibri"/>
        </w:rPr>
        <w:t>.4</w:t>
      </w:r>
      <w:r w:rsidRPr="00EB66C3">
        <w:rPr>
          <w:rFonts w:cs="Calibri"/>
        </w:rPr>
        <w:t xml:space="preserve">% </w:t>
      </w:r>
      <w:r>
        <w:rPr>
          <w:rFonts w:cs="Calibri"/>
        </w:rPr>
        <w:t>of sites had concentrations exceeding</w:t>
      </w:r>
      <w:r w:rsidRPr="00EB66C3">
        <w:rPr>
          <w:rFonts w:cs="Calibri"/>
        </w:rPr>
        <w:t xml:space="preserve"> 25</w:t>
      </w:r>
      <w:r>
        <w:rPr>
          <w:rFonts w:cs="Calibri"/>
          <w:lang w:val="en-US"/>
        </w:rPr>
        <w:t>mg/l NO</w:t>
      </w:r>
      <w:r w:rsidRPr="00EB66C3">
        <w:rPr>
          <w:rFonts w:cs="Calibri"/>
          <w:vertAlign w:val="subscript"/>
          <w:lang w:val="en-US"/>
        </w:rPr>
        <w:t>3</w:t>
      </w:r>
      <w:r>
        <w:rPr>
          <w:rFonts w:cs="Calibri"/>
          <w:lang w:val="en-US"/>
        </w:rPr>
        <w:t xml:space="preserve">. </w:t>
      </w:r>
    </w:p>
    <w:p w:rsidR="00740772" w:rsidRPr="008D1BB5" w:rsidRDefault="00740772" w:rsidP="00536756">
      <w:pPr>
        <w:spacing w:after="240" w:line="240" w:lineRule="auto"/>
        <w:jc w:val="both"/>
        <w:rPr>
          <w:rFonts w:cs="Calibri"/>
          <w:lang w:val="en-US"/>
        </w:rPr>
      </w:pPr>
      <w:r w:rsidRPr="00B273F4">
        <w:rPr>
          <w:rFonts w:cs="Calibri"/>
          <w:lang w:val="en-US"/>
        </w:rPr>
        <w:t xml:space="preserve">The </w:t>
      </w:r>
      <w:r>
        <w:rPr>
          <w:rFonts w:cs="Calibri"/>
          <w:lang w:val="en-US"/>
        </w:rPr>
        <w:t>phosphorus</w:t>
      </w:r>
      <w:r w:rsidRPr="00B273F4">
        <w:rPr>
          <w:rFonts w:cs="Calibri"/>
          <w:lang w:val="en-US"/>
        </w:rPr>
        <w:t xml:space="preserve"> </w:t>
      </w:r>
      <w:r>
        <w:rPr>
          <w:rFonts w:cs="Calibri"/>
          <w:lang w:val="en-US"/>
        </w:rPr>
        <w:t>concentrations</w:t>
      </w:r>
      <w:r w:rsidRPr="00B273F4">
        <w:rPr>
          <w:rFonts w:cs="Calibri"/>
          <w:lang w:val="en-US"/>
        </w:rPr>
        <w:t xml:space="preserve"> over the last decade var</w:t>
      </w:r>
      <w:r>
        <w:rPr>
          <w:rFonts w:cs="Calibri"/>
          <w:lang w:val="en-US"/>
        </w:rPr>
        <w:t>y</w:t>
      </w:r>
      <w:r w:rsidRPr="00B273F4">
        <w:rPr>
          <w:rFonts w:cs="Calibri"/>
          <w:lang w:val="en-US"/>
        </w:rPr>
        <w:t xml:space="preserve"> </w:t>
      </w:r>
      <w:r>
        <w:rPr>
          <w:rFonts w:cs="Calibri"/>
          <w:lang w:val="en-US"/>
        </w:rPr>
        <w:t>from year to year, with</w:t>
      </w:r>
      <w:r w:rsidRPr="00B273F4">
        <w:rPr>
          <w:rFonts w:cs="Calibri"/>
          <w:lang w:val="en-US"/>
        </w:rPr>
        <w:t xml:space="preserve"> </w:t>
      </w:r>
      <w:r>
        <w:rPr>
          <w:rFonts w:cs="Calibri"/>
          <w:lang w:val="en-US"/>
        </w:rPr>
        <w:t>the 2016 phosphorus data assessment highlighting stability in phosphorus concentrations since 2014, although the improvements measured between 2009 and 2014 appear to have ceased. 68.8</w:t>
      </w:r>
      <w:r w:rsidRPr="00FC50D3">
        <w:rPr>
          <w:rFonts w:cs="Calibri"/>
          <w:lang w:val="en-US"/>
        </w:rPr>
        <w:t xml:space="preserve">% of </w:t>
      </w:r>
      <w:r>
        <w:rPr>
          <w:rFonts w:cs="Calibri"/>
          <w:lang w:val="en-US"/>
        </w:rPr>
        <w:t xml:space="preserve">river </w:t>
      </w:r>
      <w:r w:rsidRPr="00FC50D3">
        <w:rPr>
          <w:rFonts w:cs="Calibri"/>
          <w:lang w:val="en-US"/>
        </w:rPr>
        <w:t xml:space="preserve">monitoring </w:t>
      </w:r>
      <w:r>
        <w:rPr>
          <w:rFonts w:cs="Calibri"/>
          <w:lang w:val="en-US"/>
        </w:rPr>
        <w:t>sites</w:t>
      </w:r>
      <w:r w:rsidRPr="00FC50D3">
        <w:rPr>
          <w:rFonts w:cs="Calibri"/>
          <w:lang w:val="en-US"/>
        </w:rPr>
        <w:t xml:space="preserve"> had average </w:t>
      </w:r>
      <w:r>
        <w:rPr>
          <w:rFonts w:cs="Calibri"/>
          <w:lang w:val="en-US"/>
        </w:rPr>
        <w:t xml:space="preserve">phosphorus </w:t>
      </w:r>
      <w:r w:rsidRPr="00FC50D3">
        <w:rPr>
          <w:rFonts w:cs="Calibri"/>
          <w:lang w:val="en-US"/>
        </w:rPr>
        <w:t xml:space="preserve">concentrations </w:t>
      </w:r>
      <w:r>
        <w:rPr>
          <w:rFonts w:cs="Calibri"/>
          <w:lang w:val="en-US"/>
        </w:rPr>
        <w:t xml:space="preserve">less than </w:t>
      </w:r>
      <w:r w:rsidRPr="00FC50D3">
        <w:rPr>
          <w:rFonts w:cs="Calibri"/>
          <w:lang w:val="en-US"/>
        </w:rPr>
        <w:t>0.0</w:t>
      </w:r>
      <w:r>
        <w:rPr>
          <w:rFonts w:cs="Calibri"/>
          <w:lang w:val="en-US"/>
        </w:rPr>
        <w:t>35</w:t>
      </w:r>
      <w:r w:rsidRPr="00FC50D3">
        <w:rPr>
          <w:rFonts w:cs="Calibri"/>
          <w:lang w:val="en-US"/>
        </w:rPr>
        <w:t xml:space="preserve">mg/l P and only </w:t>
      </w:r>
      <w:r>
        <w:rPr>
          <w:rFonts w:cs="Calibri"/>
          <w:lang w:val="en-US"/>
        </w:rPr>
        <w:t>5% of</w:t>
      </w:r>
      <w:r w:rsidRPr="00FC50D3">
        <w:rPr>
          <w:rFonts w:cs="Calibri"/>
          <w:lang w:val="en-US"/>
        </w:rPr>
        <w:t xml:space="preserve"> </w:t>
      </w:r>
      <w:r>
        <w:rPr>
          <w:rFonts w:cs="Calibri"/>
          <w:lang w:val="en-US"/>
        </w:rPr>
        <w:t>site</w:t>
      </w:r>
      <w:r w:rsidRPr="00FC50D3">
        <w:rPr>
          <w:rFonts w:cs="Calibri"/>
          <w:lang w:val="en-US"/>
        </w:rPr>
        <w:t xml:space="preserve">s had an average concentration </w:t>
      </w:r>
      <w:r>
        <w:rPr>
          <w:rFonts w:cs="Calibri"/>
          <w:lang w:val="en-US"/>
        </w:rPr>
        <w:t xml:space="preserve">greater than </w:t>
      </w:r>
      <w:r w:rsidRPr="00FC50D3">
        <w:rPr>
          <w:rFonts w:cs="Calibri"/>
          <w:lang w:val="en-US"/>
        </w:rPr>
        <w:t>0.</w:t>
      </w:r>
      <w:r>
        <w:rPr>
          <w:rFonts w:cs="Calibri"/>
          <w:lang w:val="en-US"/>
        </w:rPr>
        <w:t>1</w:t>
      </w:r>
      <w:r w:rsidRPr="00FC50D3">
        <w:rPr>
          <w:rFonts w:cs="Calibri"/>
          <w:lang w:val="en-US"/>
        </w:rPr>
        <w:t>mg/l P</w:t>
      </w:r>
      <w:r>
        <w:rPr>
          <w:rFonts w:cs="Calibri"/>
          <w:lang w:val="en-US"/>
        </w:rPr>
        <w:t xml:space="preserve"> in 2016</w:t>
      </w:r>
      <w:r w:rsidRPr="00FC50D3">
        <w:rPr>
          <w:rFonts w:cs="Calibri"/>
          <w:lang w:val="en-US"/>
        </w:rPr>
        <w:t>.</w:t>
      </w:r>
      <w:r>
        <w:rPr>
          <w:rFonts w:cs="Calibri"/>
          <w:lang w:val="en-US"/>
        </w:rPr>
        <w:t xml:space="preserve">  </w:t>
      </w:r>
    </w:p>
    <w:p w:rsidR="00740772" w:rsidRPr="005B59C7" w:rsidRDefault="00740772" w:rsidP="00536756">
      <w:pPr>
        <w:spacing w:after="240" w:line="240" w:lineRule="auto"/>
        <w:jc w:val="both"/>
        <w:rPr>
          <w:rFonts w:cs="Calibri"/>
          <w:b/>
        </w:rPr>
      </w:pPr>
      <w:r w:rsidRPr="005B59C7">
        <w:rPr>
          <w:rFonts w:cs="Calibri"/>
          <w:b/>
        </w:rPr>
        <w:t>Lakes</w:t>
      </w:r>
    </w:p>
    <w:p w:rsidR="00740772" w:rsidRDefault="00740772" w:rsidP="00536756">
      <w:pPr>
        <w:spacing w:after="240" w:line="240" w:lineRule="auto"/>
        <w:jc w:val="both"/>
        <w:rPr>
          <w:rFonts w:cs="Calibri"/>
          <w:lang w:val="en-US"/>
        </w:rPr>
      </w:pPr>
      <w:r>
        <w:rPr>
          <w:rFonts w:cs="Calibri"/>
          <w:lang w:val="en-US"/>
        </w:rPr>
        <w:t xml:space="preserve">In 2016, </w:t>
      </w:r>
      <w:r>
        <w:rPr>
          <w:rFonts w:cs="Calibri"/>
        </w:rPr>
        <w:t>all</w:t>
      </w:r>
      <w:r w:rsidRPr="00EB66C3">
        <w:rPr>
          <w:rFonts w:cs="Calibri"/>
        </w:rPr>
        <w:t xml:space="preserve"> </w:t>
      </w:r>
      <w:r>
        <w:rPr>
          <w:rFonts w:cs="Calibri"/>
        </w:rPr>
        <w:t xml:space="preserve">monitored lakes </w:t>
      </w:r>
      <w:r w:rsidRPr="00EB66C3">
        <w:rPr>
          <w:rFonts w:cs="Calibri"/>
        </w:rPr>
        <w:t xml:space="preserve">sites </w:t>
      </w:r>
      <w:r>
        <w:rPr>
          <w:rFonts w:cs="Calibri"/>
        </w:rPr>
        <w:t xml:space="preserve">had average nitrate concentrations less than </w:t>
      </w:r>
      <w:r w:rsidRPr="00EB66C3">
        <w:rPr>
          <w:rFonts w:cs="Calibri"/>
        </w:rPr>
        <w:t>10</w:t>
      </w:r>
      <w:r>
        <w:rPr>
          <w:rFonts w:cs="Calibri"/>
          <w:lang w:val="en-US"/>
        </w:rPr>
        <w:t>mg/l NO</w:t>
      </w:r>
      <w:r w:rsidRPr="00EB66C3">
        <w:rPr>
          <w:rFonts w:cs="Calibri"/>
          <w:vertAlign w:val="subscript"/>
          <w:lang w:val="en-US"/>
        </w:rPr>
        <w:t>3</w:t>
      </w:r>
      <w:r>
        <w:rPr>
          <w:rFonts w:cs="Calibri"/>
        </w:rPr>
        <w:t xml:space="preserve">, with </w:t>
      </w:r>
      <w:r w:rsidRPr="0027606A">
        <w:rPr>
          <w:rFonts w:cs="Calibri"/>
        </w:rPr>
        <w:t>nitrate concentrations continu</w:t>
      </w:r>
      <w:r>
        <w:rPr>
          <w:rFonts w:cs="Calibri"/>
        </w:rPr>
        <w:t>ing</w:t>
      </w:r>
      <w:r w:rsidRPr="0027606A">
        <w:rPr>
          <w:rFonts w:cs="Calibri"/>
        </w:rPr>
        <w:t xml:space="preserve"> to remain low and relatively stable in lakes.</w:t>
      </w:r>
      <w:r>
        <w:rPr>
          <w:rFonts w:cs="Calibri"/>
        </w:rPr>
        <w:t xml:space="preserve">  At a water body level</w:t>
      </w:r>
      <w:r w:rsidRPr="002002AC">
        <w:rPr>
          <w:rFonts w:cs="Calibri"/>
        </w:rPr>
        <w:t xml:space="preserve">, there </w:t>
      </w:r>
      <w:r>
        <w:rPr>
          <w:rFonts w:cs="Calibri"/>
        </w:rPr>
        <w:t>was</w:t>
      </w:r>
      <w:r w:rsidRPr="002002AC">
        <w:rPr>
          <w:rFonts w:cs="Calibri"/>
        </w:rPr>
        <w:t xml:space="preserve"> an increase in max</w:t>
      </w:r>
      <w:r>
        <w:rPr>
          <w:rFonts w:cs="Calibri"/>
        </w:rPr>
        <w:t>imum nitrate concentrations in 47% (35 lakes) of all monitored lakes in the 2012-2015 reporting period</w:t>
      </w:r>
      <w:r w:rsidRPr="002002AC">
        <w:rPr>
          <w:rFonts w:cs="Calibri"/>
        </w:rPr>
        <w:t>.</w:t>
      </w:r>
    </w:p>
    <w:p w:rsidR="00740772" w:rsidRDefault="00740772" w:rsidP="00536756">
      <w:pPr>
        <w:spacing w:after="240" w:line="240" w:lineRule="auto"/>
        <w:jc w:val="both"/>
        <w:rPr>
          <w:rFonts w:cs="Calibri"/>
          <w:lang w:val="en-US"/>
        </w:rPr>
      </w:pPr>
      <w:r>
        <w:rPr>
          <w:rFonts w:cs="Calibri"/>
          <w:lang w:val="en-US"/>
        </w:rPr>
        <w:t>69.7</w:t>
      </w:r>
      <w:r w:rsidRPr="00FC50D3">
        <w:rPr>
          <w:rFonts w:cs="Calibri"/>
          <w:lang w:val="en-US"/>
        </w:rPr>
        <w:t xml:space="preserve">% of </w:t>
      </w:r>
      <w:r>
        <w:rPr>
          <w:rFonts w:cs="Calibri"/>
          <w:lang w:val="en-US"/>
        </w:rPr>
        <w:t>lakes</w:t>
      </w:r>
      <w:r w:rsidRPr="00FC50D3">
        <w:rPr>
          <w:rFonts w:cs="Calibri"/>
          <w:lang w:val="en-US"/>
        </w:rPr>
        <w:t xml:space="preserve"> had average </w:t>
      </w:r>
      <w:r>
        <w:rPr>
          <w:rFonts w:cs="Calibri"/>
          <w:lang w:val="en-US"/>
        </w:rPr>
        <w:t xml:space="preserve">total phosphorus </w:t>
      </w:r>
      <w:r w:rsidRPr="00FC50D3">
        <w:rPr>
          <w:rFonts w:cs="Calibri"/>
          <w:lang w:val="en-US"/>
        </w:rPr>
        <w:t xml:space="preserve">concentrations </w:t>
      </w:r>
      <w:r>
        <w:rPr>
          <w:rFonts w:cs="Calibri"/>
          <w:lang w:val="en-US"/>
        </w:rPr>
        <w:t xml:space="preserve">less than </w:t>
      </w:r>
      <w:r w:rsidRPr="00FC50D3">
        <w:rPr>
          <w:rFonts w:cs="Calibri"/>
          <w:lang w:val="en-US"/>
        </w:rPr>
        <w:t>0.0</w:t>
      </w:r>
      <w:r>
        <w:rPr>
          <w:rFonts w:cs="Calibri"/>
          <w:lang w:val="en-US"/>
        </w:rPr>
        <w:t>25</w:t>
      </w:r>
      <w:r w:rsidRPr="00FC50D3">
        <w:rPr>
          <w:rFonts w:cs="Calibri"/>
          <w:lang w:val="en-US"/>
        </w:rPr>
        <w:t xml:space="preserve">mg/l P and </w:t>
      </w:r>
      <w:r>
        <w:rPr>
          <w:rFonts w:cs="Calibri"/>
          <w:lang w:val="en-US"/>
        </w:rPr>
        <w:t>12% of</w:t>
      </w:r>
      <w:r w:rsidRPr="00FC50D3">
        <w:rPr>
          <w:rFonts w:cs="Calibri"/>
          <w:lang w:val="en-US"/>
        </w:rPr>
        <w:t xml:space="preserve"> </w:t>
      </w:r>
      <w:r>
        <w:rPr>
          <w:rFonts w:cs="Calibri"/>
          <w:lang w:val="en-US"/>
        </w:rPr>
        <w:t>lake</w:t>
      </w:r>
      <w:r w:rsidRPr="00FC50D3">
        <w:rPr>
          <w:rFonts w:cs="Calibri"/>
          <w:lang w:val="en-US"/>
        </w:rPr>
        <w:t xml:space="preserve">s had an average concentration </w:t>
      </w:r>
      <w:r>
        <w:rPr>
          <w:rFonts w:cs="Calibri"/>
          <w:lang w:val="en-US"/>
        </w:rPr>
        <w:t xml:space="preserve">greater than </w:t>
      </w:r>
      <w:r w:rsidRPr="00FC50D3">
        <w:rPr>
          <w:rFonts w:cs="Calibri"/>
          <w:lang w:val="en-US"/>
        </w:rPr>
        <w:t>0.</w:t>
      </w:r>
      <w:r>
        <w:rPr>
          <w:rFonts w:cs="Calibri"/>
          <w:lang w:val="en-US"/>
        </w:rPr>
        <w:t>05</w:t>
      </w:r>
      <w:r w:rsidRPr="00FC50D3">
        <w:rPr>
          <w:rFonts w:cs="Calibri"/>
          <w:lang w:val="en-US"/>
        </w:rPr>
        <w:t>mg/l P</w:t>
      </w:r>
      <w:r>
        <w:rPr>
          <w:rFonts w:cs="Calibri"/>
          <w:lang w:val="en-US"/>
        </w:rPr>
        <w:t xml:space="preserve"> in 2016</w:t>
      </w:r>
      <w:r w:rsidRPr="00FC50D3">
        <w:rPr>
          <w:rFonts w:cs="Calibri"/>
          <w:lang w:val="en-US"/>
        </w:rPr>
        <w:t>.</w:t>
      </w:r>
      <w:r>
        <w:rPr>
          <w:rFonts w:cs="Calibri"/>
          <w:lang w:val="en-US"/>
        </w:rPr>
        <w:t xml:space="preserve"> Since 2007,</w:t>
      </w:r>
      <w:r w:rsidRPr="00933009">
        <w:rPr>
          <w:rFonts w:cs="Calibri"/>
          <w:lang w:val="en-US"/>
        </w:rPr>
        <w:t xml:space="preserve"> the</w:t>
      </w:r>
      <w:r>
        <w:rPr>
          <w:rFonts w:cs="Calibri"/>
          <w:lang w:val="en-US"/>
        </w:rPr>
        <w:t xml:space="preserve"> percentage of lakes with </w:t>
      </w:r>
      <w:r w:rsidRPr="00FC50D3">
        <w:rPr>
          <w:rFonts w:cs="Calibri"/>
          <w:lang w:val="en-US"/>
        </w:rPr>
        <w:t xml:space="preserve">average </w:t>
      </w:r>
      <w:r>
        <w:rPr>
          <w:rFonts w:cs="Calibri"/>
          <w:lang w:val="en-US"/>
        </w:rPr>
        <w:t xml:space="preserve">total phosphorus </w:t>
      </w:r>
      <w:r w:rsidRPr="00FC50D3">
        <w:rPr>
          <w:rFonts w:cs="Calibri"/>
          <w:lang w:val="en-US"/>
        </w:rPr>
        <w:t xml:space="preserve">concentrations </w:t>
      </w:r>
      <w:r>
        <w:rPr>
          <w:rFonts w:cs="Calibri"/>
          <w:lang w:val="en-US"/>
        </w:rPr>
        <w:t xml:space="preserve">less than </w:t>
      </w:r>
      <w:r w:rsidRPr="00FC50D3">
        <w:rPr>
          <w:rFonts w:cs="Calibri"/>
          <w:lang w:val="en-US"/>
        </w:rPr>
        <w:t>0.0</w:t>
      </w:r>
      <w:r>
        <w:rPr>
          <w:rFonts w:cs="Calibri"/>
          <w:lang w:val="en-US"/>
        </w:rPr>
        <w:t>25</w:t>
      </w:r>
      <w:r w:rsidRPr="00FC50D3">
        <w:rPr>
          <w:rFonts w:cs="Calibri"/>
          <w:lang w:val="en-US"/>
        </w:rPr>
        <w:t xml:space="preserve">mg/l P </w:t>
      </w:r>
      <w:r>
        <w:rPr>
          <w:rFonts w:cs="Calibri"/>
          <w:lang w:val="en-US"/>
        </w:rPr>
        <w:t>has steadily increased, although 2016 saw a reversal in this trend, with concentrations deteriorating to the levels measured during 2010</w:t>
      </w:r>
      <w:r w:rsidRPr="00933009">
        <w:rPr>
          <w:rFonts w:cs="Calibri"/>
          <w:lang w:val="en-US"/>
        </w:rPr>
        <w:t>.</w:t>
      </w:r>
    </w:p>
    <w:p w:rsidR="00740772" w:rsidRPr="002115E8" w:rsidRDefault="00740772" w:rsidP="00536756">
      <w:pPr>
        <w:spacing w:after="240" w:line="240" w:lineRule="auto"/>
        <w:jc w:val="both"/>
        <w:rPr>
          <w:rFonts w:cs="Calibri"/>
          <w:b/>
          <w:lang w:val="en-US"/>
        </w:rPr>
      </w:pPr>
      <w:r w:rsidRPr="002115E8">
        <w:rPr>
          <w:rFonts w:cs="Calibri"/>
          <w:b/>
          <w:lang w:val="en-US"/>
        </w:rPr>
        <w:t>Transitional and coastal waters</w:t>
      </w:r>
    </w:p>
    <w:p w:rsidR="00740772" w:rsidRDefault="00740772" w:rsidP="00536756">
      <w:pPr>
        <w:spacing w:after="240" w:line="240" w:lineRule="auto"/>
        <w:jc w:val="both"/>
        <w:rPr>
          <w:rFonts w:cs="Calibri"/>
        </w:rPr>
      </w:pPr>
      <w:r>
        <w:rPr>
          <w:rFonts w:cs="Calibri"/>
          <w:lang w:val="en-US"/>
        </w:rPr>
        <w:t xml:space="preserve">The assessment undertaken using transitional and coastal monitoring data from 2014 </w:t>
      </w:r>
      <w:r w:rsidRPr="00530B24">
        <w:rPr>
          <w:rFonts w:cs="Calibri"/>
          <w:lang w:val="en-US"/>
        </w:rPr>
        <w:t>to 201</w:t>
      </w:r>
      <w:r>
        <w:rPr>
          <w:rFonts w:cs="Calibri"/>
          <w:lang w:val="en-US"/>
        </w:rPr>
        <w:t>6 indicates that</w:t>
      </w:r>
      <w:r w:rsidRPr="00530B24">
        <w:rPr>
          <w:rFonts w:cs="Calibri"/>
          <w:lang w:val="en-US"/>
        </w:rPr>
        <w:t xml:space="preserve"> </w:t>
      </w:r>
      <w:r>
        <w:rPr>
          <w:rFonts w:cs="Calibri"/>
        </w:rPr>
        <w:t>all</w:t>
      </w:r>
      <w:r w:rsidRPr="00530B24">
        <w:rPr>
          <w:rFonts w:cs="Calibri"/>
        </w:rPr>
        <w:t xml:space="preserve"> transitional and coastal </w:t>
      </w:r>
      <w:r>
        <w:rPr>
          <w:rFonts w:cs="Calibri"/>
        </w:rPr>
        <w:t xml:space="preserve">sites had </w:t>
      </w:r>
      <w:r w:rsidRPr="00530B24">
        <w:rPr>
          <w:rFonts w:cs="Calibri"/>
        </w:rPr>
        <w:t xml:space="preserve">median nitrate concentrations below 25 mg/l </w:t>
      </w:r>
      <w:r w:rsidRPr="00530B24">
        <w:rPr>
          <w:rFonts w:cs="Calibri"/>
          <w:lang w:val="en-US"/>
        </w:rPr>
        <w:t>NO</w:t>
      </w:r>
      <w:r w:rsidRPr="00530B24">
        <w:rPr>
          <w:rFonts w:cs="Calibri"/>
          <w:vertAlign w:val="subscript"/>
          <w:lang w:val="en-US"/>
        </w:rPr>
        <w:t>3</w:t>
      </w:r>
      <w:r w:rsidRPr="00530B24">
        <w:rPr>
          <w:rFonts w:cs="Calibri"/>
        </w:rPr>
        <w:t>.</w:t>
      </w:r>
      <w:r>
        <w:rPr>
          <w:rFonts w:cs="Calibri"/>
        </w:rPr>
        <w:t xml:space="preserve"> </w:t>
      </w:r>
      <w:r w:rsidRPr="00530B24">
        <w:rPr>
          <w:rFonts w:cs="Calibri"/>
        </w:rPr>
        <w:t xml:space="preserve">The highest nitrate concentrations </w:t>
      </w:r>
      <w:r>
        <w:rPr>
          <w:rFonts w:cs="Calibri"/>
        </w:rPr>
        <w:t>wer</w:t>
      </w:r>
      <w:r w:rsidRPr="00530B24">
        <w:rPr>
          <w:rFonts w:cs="Calibri"/>
        </w:rPr>
        <w:t>e found along the south-eastern and southern coasts</w:t>
      </w:r>
      <w:r>
        <w:rPr>
          <w:rFonts w:cs="Calibri"/>
        </w:rPr>
        <w:t>. Overall, nitrate concentrations since 2011 have remained stable, however four transitional</w:t>
      </w:r>
      <w:r w:rsidRPr="002002AC">
        <w:rPr>
          <w:rFonts w:cs="Calibri"/>
        </w:rPr>
        <w:t xml:space="preserve"> water bodies and one </w:t>
      </w:r>
      <w:r>
        <w:rPr>
          <w:rFonts w:cs="Calibri"/>
        </w:rPr>
        <w:t>coastal water body</w:t>
      </w:r>
      <w:r w:rsidRPr="002002AC">
        <w:rPr>
          <w:rFonts w:cs="Calibri"/>
        </w:rPr>
        <w:t xml:space="preserve"> have shown a decline in trophic state</w:t>
      </w:r>
      <w:r w:rsidRPr="000D403D">
        <w:rPr>
          <w:rFonts w:cs="Calibri"/>
        </w:rPr>
        <w:t xml:space="preserve"> </w:t>
      </w:r>
      <w:r>
        <w:rPr>
          <w:rFonts w:cs="Calibri"/>
        </w:rPr>
        <w:t>between 2008-2011 and 2012-2015</w:t>
      </w:r>
      <w:r w:rsidRPr="00590937">
        <w:rPr>
          <w:rFonts w:cs="Calibri"/>
          <w:vertAlign w:val="superscript"/>
        </w:rPr>
        <w:t>i</w:t>
      </w:r>
      <w:r>
        <w:rPr>
          <w:rFonts w:cs="Calibri"/>
        </w:rPr>
        <w:t>.</w:t>
      </w:r>
    </w:p>
    <w:p w:rsidR="00740772" w:rsidRPr="00362574" w:rsidRDefault="00740772" w:rsidP="00536756">
      <w:pPr>
        <w:spacing w:after="240" w:line="240" w:lineRule="auto"/>
        <w:jc w:val="both"/>
        <w:rPr>
          <w:rFonts w:cs="Calibri"/>
          <w:lang w:val="en-US"/>
        </w:rPr>
      </w:pPr>
      <w:r>
        <w:rPr>
          <w:rFonts w:cs="Calibri"/>
          <w:lang w:val="en-US"/>
        </w:rPr>
        <w:t>Data from the 2014 to 2016 assessment indicates that median p</w:t>
      </w:r>
      <w:r w:rsidRPr="00904781">
        <w:rPr>
          <w:rFonts w:cs="Calibri"/>
          <w:lang w:val="en-US"/>
        </w:rPr>
        <w:t>hosph</w:t>
      </w:r>
      <w:r>
        <w:rPr>
          <w:rFonts w:cs="Calibri"/>
          <w:lang w:val="en-US"/>
        </w:rPr>
        <w:t>orus</w:t>
      </w:r>
      <w:r w:rsidRPr="00904781">
        <w:rPr>
          <w:rFonts w:cs="Calibri"/>
          <w:lang w:val="en-US"/>
        </w:rPr>
        <w:t xml:space="preserve"> concentrations in most estuaries and coastal waters </w:t>
      </w:r>
      <w:r>
        <w:rPr>
          <w:rFonts w:cs="Calibri"/>
          <w:lang w:val="en-US"/>
        </w:rPr>
        <w:t>we</w:t>
      </w:r>
      <w:r w:rsidRPr="00904781">
        <w:rPr>
          <w:rFonts w:cs="Calibri"/>
          <w:lang w:val="en-US"/>
        </w:rPr>
        <w:t>re low, except for</w:t>
      </w:r>
      <w:r>
        <w:rPr>
          <w:rFonts w:cs="Calibri"/>
          <w:lang w:val="en-US"/>
        </w:rPr>
        <w:t xml:space="preserve"> few locations in the Shannon estuary.</w:t>
      </w:r>
      <w:r w:rsidRPr="00904781">
        <w:rPr>
          <w:rFonts w:cs="Calibri"/>
          <w:lang w:val="en-US"/>
        </w:rPr>
        <w:t xml:space="preserve"> </w:t>
      </w:r>
      <w:r>
        <w:rPr>
          <w:rFonts w:cs="Calibri"/>
          <w:lang w:val="en-US"/>
        </w:rPr>
        <w:t xml:space="preserve">Median phosphorus concentrations were less than </w:t>
      </w:r>
      <w:r w:rsidRPr="00FC50D3">
        <w:rPr>
          <w:rFonts w:cs="Calibri"/>
          <w:lang w:val="en-US"/>
        </w:rPr>
        <w:t>0.0</w:t>
      </w:r>
      <w:r>
        <w:rPr>
          <w:rFonts w:cs="Calibri"/>
          <w:lang w:val="en-US"/>
        </w:rPr>
        <w:t>4</w:t>
      </w:r>
      <w:r w:rsidRPr="00FC50D3">
        <w:rPr>
          <w:rFonts w:cs="Calibri"/>
          <w:lang w:val="en-US"/>
        </w:rPr>
        <w:t xml:space="preserve">mg/l P </w:t>
      </w:r>
      <w:r>
        <w:rPr>
          <w:rFonts w:cs="Calibri"/>
          <w:lang w:val="en-US"/>
        </w:rPr>
        <w:t>at 91</w:t>
      </w:r>
      <w:r w:rsidRPr="00FC50D3">
        <w:rPr>
          <w:rFonts w:cs="Calibri"/>
          <w:lang w:val="en-US"/>
        </w:rPr>
        <w:t xml:space="preserve">% of </w:t>
      </w:r>
      <w:r>
        <w:rPr>
          <w:rFonts w:cs="Calibri"/>
          <w:lang w:val="en-US"/>
        </w:rPr>
        <w:t>monitoring</w:t>
      </w:r>
      <w:r w:rsidRPr="00FC50D3">
        <w:rPr>
          <w:rFonts w:cs="Calibri"/>
          <w:lang w:val="en-US"/>
        </w:rPr>
        <w:t xml:space="preserve"> </w:t>
      </w:r>
      <w:r>
        <w:rPr>
          <w:rFonts w:cs="Calibri"/>
          <w:lang w:val="en-US"/>
        </w:rPr>
        <w:t>sites</w:t>
      </w:r>
      <w:r w:rsidRPr="00FC50D3">
        <w:rPr>
          <w:rFonts w:cs="Calibri"/>
          <w:lang w:val="en-US"/>
        </w:rPr>
        <w:t xml:space="preserve"> and only </w:t>
      </w:r>
      <w:r>
        <w:rPr>
          <w:rFonts w:cs="Calibri"/>
          <w:lang w:val="en-US"/>
        </w:rPr>
        <w:t>2% of</w:t>
      </w:r>
      <w:r w:rsidRPr="00FC50D3">
        <w:rPr>
          <w:rFonts w:cs="Calibri"/>
          <w:lang w:val="en-US"/>
        </w:rPr>
        <w:t xml:space="preserve"> </w:t>
      </w:r>
      <w:r>
        <w:rPr>
          <w:rFonts w:cs="Calibri"/>
          <w:lang w:val="en-US"/>
        </w:rPr>
        <w:t>site</w:t>
      </w:r>
      <w:r w:rsidRPr="00FC50D3">
        <w:rPr>
          <w:rFonts w:cs="Calibri"/>
          <w:lang w:val="en-US"/>
        </w:rPr>
        <w:t xml:space="preserve">s had </w:t>
      </w:r>
      <w:r>
        <w:rPr>
          <w:rFonts w:cs="Calibri"/>
          <w:lang w:val="en-US"/>
        </w:rPr>
        <w:t>median</w:t>
      </w:r>
      <w:r w:rsidRPr="00FC50D3">
        <w:rPr>
          <w:rFonts w:cs="Calibri"/>
          <w:lang w:val="en-US"/>
        </w:rPr>
        <w:t xml:space="preserve"> concentration</w:t>
      </w:r>
      <w:r>
        <w:rPr>
          <w:rFonts w:cs="Calibri"/>
          <w:lang w:val="en-US"/>
        </w:rPr>
        <w:t>s</w:t>
      </w:r>
      <w:r w:rsidRPr="00FC50D3">
        <w:rPr>
          <w:rFonts w:cs="Calibri"/>
          <w:lang w:val="en-US"/>
        </w:rPr>
        <w:t xml:space="preserve"> </w:t>
      </w:r>
      <w:r>
        <w:rPr>
          <w:rFonts w:cs="Calibri"/>
          <w:lang w:val="en-US"/>
        </w:rPr>
        <w:t xml:space="preserve">greater than </w:t>
      </w:r>
      <w:r w:rsidRPr="00FC50D3">
        <w:rPr>
          <w:rFonts w:cs="Calibri"/>
          <w:lang w:val="en-US"/>
        </w:rPr>
        <w:t>0.</w:t>
      </w:r>
      <w:r>
        <w:rPr>
          <w:rFonts w:cs="Calibri"/>
          <w:lang w:val="en-US"/>
        </w:rPr>
        <w:t>06</w:t>
      </w:r>
      <w:r w:rsidRPr="00FC50D3">
        <w:rPr>
          <w:rFonts w:cs="Calibri"/>
          <w:lang w:val="en-US"/>
        </w:rPr>
        <w:t>mg/l P.</w:t>
      </w:r>
      <w:r>
        <w:rPr>
          <w:rFonts w:cs="Calibri"/>
          <w:lang w:val="en-US"/>
        </w:rPr>
        <w:t xml:space="preserve"> Nationally, since 2007, median phosphorus concentrations in transitional and coastal waters have been stable or have been reducing slightly.</w:t>
      </w:r>
    </w:p>
    <w:p w:rsidR="00740772" w:rsidRPr="002115E8" w:rsidRDefault="007F1E54" w:rsidP="00536756">
      <w:pPr>
        <w:spacing w:after="240" w:line="240" w:lineRule="auto"/>
        <w:jc w:val="both"/>
        <w:rPr>
          <w:rFonts w:cs="Calibri"/>
          <w:b/>
        </w:rPr>
      </w:pPr>
      <w:r>
        <w:rPr>
          <w:rFonts w:cs="Calibri"/>
          <w:b/>
        </w:rPr>
        <w:t>High status s</w:t>
      </w:r>
      <w:r w:rsidR="00740772" w:rsidRPr="002115E8">
        <w:rPr>
          <w:rFonts w:cs="Calibri"/>
          <w:b/>
        </w:rPr>
        <w:t>ites</w:t>
      </w:r>
    </w:p>
    <w:p w:rsidR="00740772" w:rsidRPr="00115C89" w:rsidRDefault="00740772" w:rsidP="00536756">
      <w:pPr>
        <w:autoSpaceDE w:val="0"/>
        <w:autoSpaceDN w:val="0"/>
        <w:spacing w:after="240" w:line="240" w:lineRule="auto"/>
        <w:jc w:val="both"/>
      </w:pPr>
      <w:r w:rsidRPr="00A809B4">
        <w:rPr>
          <w:rFonts w:cs="Calibri"/>
        </w:rPr>
        <w:t xml:space="preserve">High status water bodies </w:t>
      </w:r>
      <w:r>
        <w:rPr>
          <w:rFonts w:cs="Calibri"/>
        </w:rPr>
        <w:t>reflect</w:t>
      </w:r>
      <w:r w:rsidRPr="00A809B4">
        <w:rPr>
          <w:rFonts w:cs="Calibri"/>
        </w:rPr>
        <w:t xml:space="preserve"> </w:t>
      </w:r>
      <w:r>
        <w:rPr>
          <w:rFonts w:cs="Calibri"/>
        </w:rPr>
        <w:t>water quality that has not been significantly impacted by human influences</w:t>
      </w:r>
      <w:r w:rsidRPr="00A809B4">
        <w:rPr>
          <w:rFonts w:cs="Calibri"/>
        </w:rPr>
        <w:t xml:space="preserve"> </w:t>
      </w:r>
      <w:r>
        <w:rPr>
          <w:rFonts w:cs="Calibri"/>
        </w:rPr>
        <w:t xml:space="preserve">and are close to a </w:t>
      </w:r>
      <w:r w:rsidRPr="00A809B4">
        <w:rPr>
          <w:rFonts w:cs="Calibri"/>
        </w:rPr>
        <w:t xml:space="preserve">natural background </w:t>
      </w:r>
      <w:r>
        <w:rPr>
          <w:rFonts w:cs="Calibri"/>
        </w:rPr>
        <w:t>condition</w:t>
      </w:r>
      <w:r w:rsidRPr="00A809B4">
        <w:rPr>
          <w:rFonts w:cs="Calibri"/>
        </w:rPr>
        <w:t xml:space="preserve">. The WFD environmental objectives </w:t>
      </w:r>
      <w:r w:rsidRPr="00A809B4">
        <w:rPr>
          <w:rFonts w:cs="Calibri"/>
        </w:rPr>
        <w:lastRenderedPageBreak/>
        <w:t xml:space="preserve">require that there should be no deterioration in the status of water bodies. </w:t>
      </w:r>
      <w:r w:rsidRPr="00DB02FC">
        <w:rPr>
          <w:rFonts w:cs="Calibri"/>
        </w:rPr>
        <w:t xml:space="preserve">243 rivers, 25 lakes, 13 transitional and nine coastal water bodies were </w:t>
      </w:r>
      <w:r>
        <w:rPr>
          <w:rFonts w:cs="Calibri"/>
        </w:rPr>
        <w:t xml:space="preserve">identified </w:t>
      </w:r>
      <w:r w:rsidRPr="00DB02FC">
        <w:rPr>
          <w:rFonts w:cs="Calibri"/>
        </w:rPr>
        <w:t>as being at high status in the 2013-2015 in the</w:t>
      </w:r>
      <w:r>
        <w:rPr>
          <w:rFonts w:cs="Calibri"/>
        </w:rPr>
        <w:t xml:space="preserve"> draft River Basin Management Plan</w:t>
      </w:r>
      <w:r>
        <w:rPr>
          <w:rStyle w:val="FootnoteReference"/>
        </w:rPr>
        <w:footnoteReference w:id="4"/>
      </w:r>
      <w:r w:rsidRPr="00A809B4">
        <w:rPr>
          <w:rFonts w:cs="Calibri"/>
        </w:rPr>
        <w:t xml:space="preserve">. </w:t>
      </w:r>
      <w:r>
        <w:rPr>
          <w:rFonts w:cs="Calibri"/>
        </w:rPr>
        <w:t>T</w:t>
      </w:r>
      <w:r w:rsidRPr="00A809B4">
        <w:rPr>
          <w:rFonts w:cs="Calibri"/>
        </w:rPr>
        <w:t>he status of these water bodies is under threat</w:t>
      </w:r>
      <w:r>
        <w:rPr>
          <w:rFonts w:cs="Calibri"/>
        </w:rPr>
        <w:t xml:space="preserve"> with</w:t>
      </w:r>
      <w:r w:rsidRPr="00A809B4">
        <w:rPr>
          <w:rFonts w:cs="Calibri"/>
        </w:rPr>
        <w:t xml:space="preserve"> </w:t>
      </w:r>
      <w:r>
        <w:rPr>
          <w:rFonts w:cs="Calibri"/>
        </w:rPr>
        <w:t>conti</w:t>
      </w:r>
      <w:r w:rsidRPr="00A809B4">
        <w:rPr>
          <w:rFonts w:cs="Calibri"/>
        </w:rPr>
        <w:t>n</w:t>
      </w:r>
      <w:r>
        <w:rPr>
          <w:rFonts w:cs="Calibri"/>
        </w:rPr>
        <w:t>uing lo</w:t>
      </w:r>
      <w:r w:rsidRPr="00A809B4">
        <w:rPr>
          <w:rFonts w:cs="Calibri"/>
        </w:rPr>
        <w:t>ss</w:t>
      </w:r>
      <w:r>
        <w:rPr>
          <w:rFonts w:cs="Calibri"/>
        </w:rPr>
        <w:t xml:space="preserve"> in high status river sites in the last three decades (Figure 1). </w:t>
      </w:r>
      <w:r>
        <w:t xml:space="preserve">In addition to high status river and lake water bodies, there are other sensitive ecosystems that depend on good water quality, for instance, freshwater pearl mussel catchments and catchments of groundwater dependent terrestrial ecosystems, such as turloughs and alkaline fens. </w:t>
      </w:r>
      <w:r w:rsidR="00C61167">
        <w:t xml:space="preserve">As highlighted in the draft River Basin Management Plan, the on-going loss of high status sites is a key issue for compliance with the WFD. </w:t>
      </w:r>
      <w:r>
        <w:t xml:space="preserve">Implementation of the </w:t>
      </w:r>
      <w:r w:rsidR="00740239">
        <w:t xml:space="preserve">National </w:t>
      </w:r>
      <w:r w:rsidR="00F759B7">
        <w:t>NAP contributes</w:t>
      </w:r>
      <w:r>
        <w:t xml:space="preserve"> </w:t>
      </w:r>
      <w:r w:rsidR="00C61167">
        <w:t xml:space="preserve">positively </w:t>
      </w:r>
      <w:r>
        <w:t>to</w:t>
      </w:r>
      <w:r w:rsidR="00C61167">
        <w:t>wards</w:t>
      </w:r>
      <w:r>
        <w:t xml:space="preserve"> the protection of these ecosystems.</w:t>
      </w:r>
      <w:r w:rsidRPr="007A4E34">
        <w:t xml:space="preserve"> </w:t>
      </w:r>
    </w:p>
    <w:p w:rsidR="00740772" w:rsidRPr="00A809B4" w:rsidRDefault="00740772" w:rsidP="00536756">
      <w:pPr>
        <w:autoSpaceDE w:val="0"/>
        <w:autoSpaceDN w:val="0"/>
        <w:spacing w:after="240" w:line="240" w:lineRule="auto"/>
        <w:jc w:val="both"/>
        <w:rPr>
          <w:rFonts w:cs="Calibri"/>
          <w:lang w:eastAsia="en-IE"/>
        </w:rPr>
      </w:pPr>
      <w:r w:rsidRPr="00A809B4">
        <w:rPr>
          <w:rFonts w:cs="Calibri"/>
          <w:lang w:eastAsia="en-IE"/>
        </w:rPr>
        <w:t xml:space="preserve">To protect the remaining </w:t>
      </w:r>
      <w:r>
        <w:rPr>
          <w:rFonts w:cs="Calibri"/>
          <w:lang w:eastAsia="en-IE"/>
        </w:rPr>
        <w:t>h</w:t>
      </w:r>
      <w:r w:rsidRPr="00A809B4">
        <w:rPr>
          <w:rFonts w:cs="Calibri"/>
          <w:lang w:eastAsia="en-IE"/>
        </w:rPr>
        <w:t>igh status sites and to reverse the trend of decline, it is important to tackle the principal pressures causing the ecological damage. Even r</w:t>
      </w:r>
      <w:r w:rsidRPr="00A809B4">
        <w:rPr>
          <w:rFonts w:cs="Calibri"/>
          <w:bCs/>
          <w:lang w:eastAsia="en-IE"/>
        </w:rPr>
        <w:t>elatively low intensity activities can cause deterioration in water quality and status</w:t>
      </w:r>
      <w:r>
        <w:rPr>
          <w:rFonts w:cs="Calibri"/>
          <w:bCs/>
          <w:lang w:eastAsia="en-IE"/>
        </w:rPr>
        <w:t xml:space="preserve"> at these locations</w:t>
      </w:r>
      <w:r w:rsidRPr="00A809B4">
        <w:rPr>
          <w:rFonts w:cs="Calibri"/>
          <w:bCs/>
          <w:lang w:eastAsia="en-IE"/>
        </w:rPr>
        <w:t>. Agricultural sources, both point and diffuse, are</w:t>
      </w:r>
      <w:r w:rsidRPr="00A809B4">
        <w:rPr>
          <w:rFonts w:cs="Calibri"/>
          <w:lang w:eastAsia="en-IE"/>
        </w:rPr>
        <w:t xml:space="preserve"> </w:t>
      </w:r>
      <w:r>
        <w:rPr>
          <w:rFonts w:cs="Calibri"/>
          <w:lang w:eastAsia="en-IE"/>
        </w:rPr>
        <w:t>central</w:t>
      </w:r>
      <w:r w:rsidRPr="00A809B4">
        <w:rPr>
          <w:rFonts w:cs="Calibri"/>
          <w:lang w:eastAsia="en-IE"/>
        </w:rPr>
        <w:t xml:space="preserve"> in this context.</w:t>
      </w:r>
    </w:p>
    <w:p w:rsidR="00740772" w:rsidRPr="00186E46" w:rsidRDefault="00823219" w:rsidP="00536756">
      <w:pPr>
        <w:spacing w:after="240" w:line="240" w:lineRule="auto"/>
        <w:jc w:val="center"/>
        <w:rPr>
          <w:rFonts w:cs="Calibri"/>
        </w:rPr>
      </w:pPr>
      <w:r>
        <w:rPr>
          <w:noProof/>
          <w:lang w:eastAsia="en-IE"/>
        </w:rPr>
        <w:drawing>
          <wp:inline distT="0" distB="0" distL="0" distR="0">
            <wp:extent cx="5494020" cy="18141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4020" cy="1814195"/>
                    </a:xfrm>
                    <a:prstGeom prst="rect">
                      <a:avLst/>
                    </a:prstGeom>
                    <a:noFill/>
                    <a:ln>
                      <a:noFill/>
                    </a:ln>
                  </pic:spPr>
                </pic:pic>
              </a:graphicData>
            </a:graphic>
          </wp:inline>
        </w:drawing>
      </w:r>
    </w:p>
    <w:p w:rsidR="00740772" w:rsidRPr="005F56BB" w:rsidRDefault="00740772" w:rsidP="00536756">
      <w:pPr>
        <w:spacing w:after="240" w:line="240" w:lineRule="auto"/>
        <w:jc w:val="both"/>
        <w:rPr>
          <w:rFonts w:cs="Calibri"/>
          <w:b/>
        </w:rPr>
      </w:pPr>
      <w:r w:rsidRPr="00186E46">
        <w:rPr>
          <w:rFonts w:cs="Calibri"/>
          <w:b/>
        </w:rPr>
        <w:t xml:space="preserve">Figure 1: </w:t>
      </w:r>
      <w:r>
        <w:rPr>
          <w:rFonts w:cs="Calibri"/>
          <w:b/>
        </w:rPr>
        <w:t>L</w:t>
      </w:r>
      <w:r w:rsidRPr="0094699F">
        <w:rPr>
          <w:rFonts w:cs="Calibri"/>
          <w:b/>
        </w:rPr>
        <w:t>ong-term decline in the extent of</w:t>
      </w:r>
      <w:r>
        <w:rPr>
          <w:rFonts w:cs="Calibri"/>
          <w:b/>
        </w:rPr>
        <w:t xml:space="preserve"> high </w:t>
      </w:r>
      <w:r w:rsidRPr="0094699F">
        <w:rPr>
          <w:rFonts w:cs="Calibri"/>
          <w:b/>
        </w:rPr>
        <w:t>ecological quality river sites</w:t>
      </w:r>
      <w:r>
        <w:rPr>
          <w:rStyle w:val="FootnoteReference"/>
          <w:rFonts w:cs="Calibri"/>
          <w:b/>
        </w:rPr>
        <w:footnoteReference w:id="5"/>
      </w:r>
    </w:p>
    <w:p w:rsidR="00536756" w:rsidRDefault="00536756" w:rsidP="0046359B">
      <w:pPr>
        <w:spacing w:after="240" w:line="240" w:lineRule="auto"/>
        <w:jc w:val="both"/>
      </w:pPr>
      <w:r>
        <w:t xml:space="preserve">While implementation of the Nitrates Action Programme will be beneficial, in some areas supplementary measures will be required </w:t>
      </w:r>
      <w:r w:rsidR="000C771E">
        <w:t xml:space="preserve">beyond the NAP </w:t>
      </w:r>
      <w:r>
        <w:t xml:space="preserve">to provide the necessary protection of high status water bodies and other sensitive ecosystems. </w:t>
      </w:r>
      <w:r w:rsidR="000C771E">
        <w:t>The draft RBMP describes additional measures to be undertaken in relation to  high status catchments</w:t>
      </w:r>
      <w:r w:rsidR="0046359B">
        <w:t xml:space="preserve"> including the establishment of a “Blue dot catchments programme”</w:t>
      </w:r>
      <w:r w:rsidR="0046359B" w:rsidRPr="0046359B">
        <w:t xml:space="preserve"> </w:t>
      </w:r>
      <w:r w:rsidR="002827B5">
        <w:t xml:space="preserve">by local authorities </w:t>
      </w:r>
      <w:r w:rsidR="0046359B">
        <w:t>aimed at providing a means of focussing attention and resources across a range of agencies with the aim of protecting and</w:t>
      </w:r>
      <w:r w:rsidR="00681089">
        <w:t>,</w:t>
      </w:r>
      <w:r w:rsidR="0046359B">
        <w:t xml:space="preserve"> where required, restoring high ecological status</w:t>
      </w:r>
      <w:r w:rsidR="000C771E">
        <w:t xml:space="preserve">.  </w:t>
      </w:r>
      <w:r>
        <w:t xml:space="preserve">A detailed assessment of the pressures on individual water bodies has been undertaken nationally under the WFD and it is expected that this will </w:t>
      </w:r>
      <w:r w:rsidR="000C771E">
        <w:t xml:space="preserve">facilitate the </w:t>
      </w:r>
      <w:r>
        <w:t xml:space="preserve">targeting </w:t>
      </w:r>
      <w:r w:rsidR="000C771E">
        <w:t>of the most appropriate</w:t>
      </w:r>
      <w:r>
        <w:t xml:space="preserve"> measures in the right place. </w:t>
      </w:r>
      <w:r w:rsidRPr="000A608D">
        <w:t xml:space="preserve"> Consequently, adoption</w:t>
      </w:r>
      <w:r>
        <w:t xml:space="preserve"> of a </w:t>
      </w:r>
      <w:r w:rsidR="000C771E">
        <w:t xml:space="preserve">collaborative </w:t>
      </w:r>
      <w:r>
        <w:t xml:space="preserve">response to addressing these identified water quality issues is essential. This right measure in the right place approach has been incorporated into the WFD characterisation assessments, and as such areas are been identified for investigation and associated measures in the River Basin Management Plan. </w:t>
      </w:r>
    </w:p>
    <w:p w:rsidR="004516B9" w:rsidRDefault="004516B9" w:rsidP="004C048C">
      <w:pPr>
        <w:spacing w:after="0" w:line="240" w:lineRule="auto"/>
        <w:jc w:val="both"/>
        <w:rPr>
          <w:rFonts w:cs="Calibri"/>
          <w:b/>
        </w:rPr>
      </w:pPr>
    </w:p>
    <w:p w:rsidR="00866277" w:rsidRDefault="00866277">
      <w:pPr>
        <w:spacing w:after="0" w:line="240" w:lineRule="auto"/>
        <w:rPr>
          <w:rFonts w:cs="Calibri"/>
          <w:b/>
        </w:rPr>
      </w:pPr>
      <w:r>
        <w:rPr>
          <w:rFonts w:cs="Calibri"/>
          <w:b/>
        </w:rPr>
        <w:br w:type="page"/>
      </w:r>
    </w:p>
    <w:p w:rsidR="00D274F9" w:rsidRDefault="00CA1BE2" w:rsidP="004C048C">
      <w:pPr>
        <w:spacing w:after="0" w:line="240" w:lineRule="auto"/>
        <w:jc w:val="both"/>
        <w:rPr>
          <w:rFonts w:cs="Calibri"/>
          <w:b/>
        </w:rPr>
      </w:pPr>
      <w:r w:rsidRPr="006955D5">
        <w:rPr>
          <w:rFonts w:cs="Calibri"/>
          <w:b/>
        </w:rPr>
        <w:lastRenderedPageBreak/>
        <w:t>2.</w:t>
      </w:r>
      <w:r w:rsidR="00BA3585" w:rsidRPr="006955D5">
        <w:rPr>
          <w:rFonts w:cs="Calibri"/>
          <w:b/>
        </w:rPr>
        <w:t>4</w:t>
      </w:r>
      <w:r w:rsidR="00D274F9" w:rsidRPr="006955D5">
        <w:rPr>
          <w:rFonts w:cs="Calibri"/>
          <w:b/>
        </w:rPr>
        <w:t xml:space="preserve"> </w:t>
      </w:r>
      <w:r w:rsidR="005C042A" w:rsidRPr="006955D5">
        <w:rPr>
          <w:rFonts w:cs="Calibri"/>
          <w:b/>
        </w:rPr>
        <w:t xml:space="preserve"> </w:t>
      </w:r>
      <w:r w:rsidR="001B3F03" w:rsidRPr="006955D5">
        <w:rPr>
          <w:rFonts w:cs="Calibri"/>
          <w:b/>
        </w:rPr>
        <w:t>Food Wise 2025</w:t>
      </w:r>
    </w:p>
    <w:p w:rsidR="004C048C" w:rsidRPr="006955D5" w:rsidRDefault="004C048C" w:rsidP="004C048C">
      <w:pPr>
        <w:spacing w:after="0" w:line="240" w:lineRule="auto"/>
        <w:jc w:val="both"/>
        <w:rPr>
          <w:rFonts w:cs="Calibri"/>
          <w:b/>
        </w:rPr>
      </w:pPr>
    </w:p>
    <w:p w:rsidR="00375CF3" w:rsidRPr="005C042A" w:rsidRDefault="001B3F03" w:rsidP="007F1E54">
      <w:pPr>
        <w:spacing w:after="0" w:line="240" w:lineRule="auto"/>
        <w:jc w:val="both"/>
        <w:rPr>
          <w:rFonts w:cs="Calibri"/>
        </w:rPr>
      </w:pPr>
      <w:r w:rsidRPr="005C042A">
        <w:rPr>
          <w:rFonts w:eastAsia="Times New Roman" w:cs="Calibri"/>
          <w:color w:val="000000"/>
          <w:lang w:eastAsia="en-IE"/>
        </w:rPr>
        <w:t>Food Wise 2025 sets a course for Ireland’s agri-food industry, and builds on the previous industry</w:t>
      </w:r>
      <w:r w:rsidR="0094030E">
        <w:rPr>
          <w:rFonts w:eastAsia="Times New Roman" w:cs="Calibri"/>
          <w:color w:val="000000"/>
          <w:lang w:eastAsia="en-IE"/>
        </w:rPr>
        <w:t>-</w:t>
      </w:r>
      <w:r w:rsidRPr="005C042A">
        <w:rPr>
          <w:rFonts w:eastAsia="Times New Roman" w:cs="Calibri"/>
          <w:color w:val="000000"/>
          <w:lang w:eastAsia="en-IE"/>
        </w:rPr>
        <w:t xml:space="preserve">led initiative of Food Harvest 2020. </w:t>
      </w:r>
      <w:r w:rsidRPr="005C042A">
        <w:rPr>
          <w:rFonts w:cs="Calibri"/>
        </w:rPr>
        <w:t>Food Wise 2025 identifies ambitious and challenging growth projections for the industry over the next ten years including:</w:t>
      </w:r>
    </w:p>
    <w:p w:rsidR="001B3F03" w:rsidRPr="005C042A" w:rsidRDefault="001B3F03" w:rsidP="004C048C">
      <w:pPr>
        <w:numPr>
          <w:ilvl w:val="0"/>
          <w:numId w:val="32"/>
        </w:numPr>
        <w:spacing w:after="0" w:line="240" w:lineRule="auto"/>
        <w:rPr>
          <w:rFonts w:eastAsia="Times New Roman" w:cs="Calibri"/>
          <w:lang w:eastAsia="en-IE"/>
        </w:rPr>
      </w:pPr>
      <w:r w:rsidRPr="005C042A">
        <w:rPr>
          <w:rFonts w:eastAsia="Times New Roman" w:cs="Calibri"/>
          <w:lang w:eastAsia="en-IE"/>
        </w:rPr>
        <w:t>85% increase in exports to €19 billion;</w:t>
      </w:r>
    </w:p>
    <w:p w:rsidR="001B3F03" w:rsidRPr="005C042A" w:rsidRDefault="001B3F03" w:rsidP="004C048C">
      <w:pPr>
        <w:numPr>
          <w:ilvl w:val="0"/>
          <w:numId w:val="32"/>
        </w:numPr>
        <w:spacing w:after="0" w:line="240" w:lineRule="auto"/>
        <w:rPr>
          <w:rFonts w:eastAsia="Times New Roman" w:cs="Calibri"/>
          <w:lang w:eastAsia="en-IE"/>
        </w:rPr>
      </w:pPr>
      <w:r w:rsidRPr="005C042A">
        <w:rPr>
          <w:rFonts w:eastAsia="Times New Roman" w:cs="Calibri"/>
          <w:lang w:eastAsia="en-IE"/>
        </w:rPr>
        <w:t>70% increase in  value added to €13 billion</w:t>
      </w:r>
      <w:r w:rsidR="007F1E54">
        <w:rPr>
          <w:rFonts w:eastAsia="Times New Roman" w:cs="Calibri"/>
          <w:lang w:eastAsia="en-IE"/>
        </w:rPr>
        <w:t>;</w:t>
      </w:r>
    </w:p>
    <w:p w:rsidR="001B3F03" w:rsidRPr="005C042A" w:rsidRDefault="001B3F03" w:rsidP="004C048C">
      <w:pPr>
        <w:numPr>
          <w:ilvl w:val="0"/>
          <w:numId w:val="32"/>
        </w:numPr>
        <w:spacing w:after="0" w:line="240" w:lineRule="auto"/>
        <w:rPr>
          <w:rFonts w:eastAsia="Times New Roman" w:cs="Calibri"/>
          <w:lang w:eastAsia="en-IE"/>
        </w:rPr>
      </w:pPr>
      <w:r w:rsidRPr="005C042A">
        <w:rPr>
          <w:rFonts w:eastAsia="Times New Roman" w:cs="Calibri"/>
          <w:lang w:eastAsia="en-IE"/>
        </w:rPr>
        <w:t>60% increase in primary production to €10 billion and</w:t>
      </w:r>
    </w:p>
    <w:p w:rsidR="001B3F03" w:rsidRPr="005C042A" w:rsidRDefault="001B3F03" w:rsidP="004C048C">
      <w:pPr>
        <w:numPr>
          <w:ilvl w:val="0"/>
          <w:numId w:val="32"/>
        </w:numPr>
        <w:spacing w:after="0" w:line="240" w:lineRule="auto"/>
        <w:rPr>
          <w:rFonts w:eastAsia="Times New Roman" w:cs="Calibri"/>
          <w:lang w:eastAsia="en-IE"/>
        </w:rPr>
      </w:pPr>
      <w:r w:rsidRPr="005C042A">
        <w:rPr>
          <w:rFonts w:eastAsia="Times New Roman" w:cs="Calibri"/>
          <w:lang w:eastAsia="en-IE"/>
        </w:rPr>
        <w:t>The creation of 23,000 additional jobs all along the supply chain from producer level to high end value added product development.</w:t>
      </w:r>
    </w:p>
    <w:p w:rsidR="007103EE" w:rsidRDefault="007103EE" w:rsidP="004C048C">
      <w:pPr>
        <w:spacing w:after="0" w:line="240" w:lineRule="auto"/>
        <w:rPr>
          <w:rFonts w:eastAsia="Times New Roman" w:cs="Calibri"/>
          <w:color w:val="000000"/>
          <w:lang w:eastAsia="en-IE"/>
        </w:rPr>
      </w:pPr>
    </w:p>
    <w:p w:rsidR="001B3F03" w:rsidRPr="005C042A" w:rsidRDefault="001B3F03" w:rsidP="002128CD">
      <w:pPr>
        <w:spacing w:after="0" w:line="240" w:lineRule="auto"/>
        <w:jc w:val="both"/>
        <w:rPr>
          <w:rFonts w:eastAsia="Times New Roman" w:cs="Calibri"/>
          <w:color w:val="000000"/>
          <w:lang w:eastAsia="en-IE"/>
        </w:rPr>
      </w:pPr>
      <w:r w:rsidRPr="005C042A">
        <w:rPr>
          <w:rFonts w:eastAsia="Times New Roman" w:cs="Calibri"/>
          <w:color w:val="000000"/>
          <w:lang w:eastAsia="en-IE"/>
        </w:rPr>
        <w:t>As the industry embraces new levels of growth, it will also be required to show an absolute commitment to the principles of sustainability, recognising that gains in productivity must not be at the expense of the environment.</w:t>
      </w:r>
    </w:p>
    <w:p w:rsidR="007103EE" w:rsidRDefault="007103EE" w:rsidP="004C048C">
      <w:pPr>
        <w:spacing w:after="0" w:line="240" w:lineRule="auto"/>
        <w:jc w:val="both"/>
        <w:rPr>
          <w:rFonts w:cs="Calibri"/>
        </w:rPr>
      </w:pPr>
    </w:p>
    <w:p w:rsidR="00AF193D" w:rsidRDefault="00E412B8" w:rsidP="004C048C">
      <w:pPr>
        <w:spacing w:after="0" w:line="240" w:lineRule="auto"/>
        <w:jc w:val="both"/>
        <w:rPr>
          <w:rFonts w:cs="Calibri"/>
        </w:rPr>
      </w:pPr>
      <w:r>
        <w:rPr>
          <w:rFonts w:cs="Calibri"/>
        </w:rPr>
        <w:t>The Review G</w:t>
      </w:r>
      <w:r w:rsidR="007E7C4D" w:rsidRPr="007E7C4D">
        <w:rPr>
          <w:rFonts w:cs="Calibri"/>
        </w:rPr>
        <w:t>roup consider</w:t>
      </w:r>
      <w:r w:rsidR="00067F7F">
        <w:rPr>
          <w:rFonts w:cs="Calibri"/>
        </w:rPr>
        <w:t>s</w:t>
      </w:r>
      <w:r w:rsidR="007E7C4D" w:rsidRPr="007E7C4D">
        <w:rPr>
          <w:rFonts w:cs="Calibri"/>
        </w:rPr>
        <w:t xml:space="preserve"> that any </w:t>
      </w:r>
      <w:r w:rsidR="00947CAE">
        <w:rPr>
          <w:rFonts w:cs="Calibri"/>
        </w:rPr>
        <w:t>proposed</w:t>
      </w:r>
      <w:r w:rsidR="007E7C4D" w:rsidRPr="007E7C4D">
        <w:rPr>
          <w:rFonts w:cs="Calibri"/>
        </w:rPr>
        <w:t xml:space="preserve"> changes </w:t>
      </w:r>
      <w:r w:rsidR="00947CAE">
        <w:rPr>
          <w:rFonts w:cs="Calibri"/>
        </w:rPr>
        <w:t>to</w:t>
      </w:r>
      <w:r w:rsidR="007E7C4D" w:rsidRPr="007E7C4D">
        <w:rPr>
          <w:rFonts w:cs="Calibri"/>
        </w:rPr>
        <w:t xml:space="preserve"> the </w:t>
      </w:r>
      <w:r w:rsidR="00E114C2">
        <w:rPr>
          <w:rFonts w:cs="Calibri"/>
        </w:rPr>
        <w:t>R</w:t>
      </w:r>
      <w:r w:rsidR="007E7C4D" w:rsidRPr="007E7C4D">
        <w:rPr>
          <w:rFonts w:cs="Calibri"/>
        </w:rPr>
        <w:t xml:space="preserve">egulations </w:t>
      </w:r>
      <w:r w:rsidR="005C042A">
        <w:rPr>
          <w:rFonts w:cs="Calibri"/>
        </w:rPr>
        <w:t xml:space="preserve">must </w:t>
      </w:r>
      <w:r w:rsidR="007E7C4D" w:rsidRPr="007E7C4D">
        <w:rPr>
          <w:rFonts w:cs="Calibri"/>
        </w:rPr>
        <w:t xml:space="preserve">be </w:t>
      </w:r>
      <w:r w:rsidR="000B07F9">
        <w:rPr>
          <w:rFonts w:cs="Calibri"/>
        </w:rPr>
        <w:t>consistent</w:t>
      </w:r>
      <w:r w:rsidR="007E7C4D" w:rsidRPr="007E7C4D">
        <w:rPr>
          <w:rFonts w:cs="Calibri"/>
        </w:rPr>
        <w:t xml:space="preserve"> with </w:t>
      </w:r>
      <w:r w:rsidR="000B07F9">
        <w:rPr>
          <w:rFonts w:cs="Calibri"/>
        </w:rPr>
        <w:t>the objectives of the Nitrates Directive, the Water Framework Directive, the Birds and Habitats Directives as well as the sustainability</w:t>
      </w:r>
      <w:r w:rsidR="000B07F9" w:rsidRPr="007E7C4D">
        <w:rPr>
          <w:rFonts w:cs="Calibri"/>
        </w:rPr>
        <w:t xml:space="preserve"> </w:t>
      </w:r>
      <w:r w:rsidR="000B07F9">
        <w:rPr>
          <w:rFonts w:cs="Calibri"/>
        </w:rPr>
        <w:t xml:space="preserve">objectives of </w:t>
      </w:r>
      <w:r w:rsidR="007E7C4D" w:rsidRPr="007E7C4D">
        <w:rPr>
          <w:rFonts w:cs="Calibri"/>
        </w:rPr>
        <w:t xml:space="preserve">the </w:t>
      </w:r>
      <w:r w:rsidR="0078170C">
        <w:rPr>
          <w:rFonts w:cs="Calibri"/>
        </w:rPr>
        <w:t>Food Wise 2025</w:t>
      </w:r>
      <w:r w:rsidR="000B07F9">
        <w:rPr>
          <w:rFonts w:cs="Calibri"/>
        </w:rPr>
        <w:t xml:space="preserve"> strategy</w:t>
      </w:r>
      <w:r w:rsidR="005C042A">
        <w:rPr>
          <w:rFonts w:cs="Calibri"/>
        </w:rPr>
        <w:t>.</w:t>
      </w:r>
      <w:r w:rsidR="00947CAE">
        <w:rPr>
          <w:rFonts w:cs="Calibri"/>
        </w:rPr>
        <w:t xml:space="preserve"> </w:t>
      </w:r>
      <w:r w:rsidR="00AD3A2D">
        <w:rPr>
          <w:rFonts w:cs="Calibri"/>
        </w:rPr>
        <w:t xml:space="preserve"> </w:t>
      </w:r>
      <w:r w:rsidR="0004431D">
        <w:rPr>
          <w:rFonts w:cs="Calibri"/>
        </w:rPr>
        <w:t xml:space="preserve">The Group </w:t>
      </w:r>
      <w:r w:rsidR="0078170C">
        <w:rPr>
          <w:rFonts w:cs="Calibri"/>
        </w:rPr>
        <w:t>is</w:t>
      </w:r>
      <w:r w:rsidR="00201A1C">
        <w:rPr>
          <w:rFonts w:cs="Calibri"/>
        </w:rPr>
        <w:t xml:space="preserve"> of the view </w:t>
      </w:r>
      <w:r w:rsidR="0004431D">
        <w:rPr>
          <w:rFonts w:cs="Calibri"/>
        </w:rPr>
        <w:t>that</w:t>
      </w:r>
      <w:r w:rsidR="005C042A">
        <w:rPr>
          <w:rFonts w:cs="Calibri"/>
        </w:rPr>
        <w:t xml:space="preserve"> NAP4</w:t>
      </w:r>
      <w:r w:rsidR="0064772E">
        <w:rPr>
          <w:rFonts w:cs="Calibri"/>
        </w:rPr>
        <w:t xml:space="preserve"> cannot of itself address all the issues</w:t>
      </w:r>
      <w:r w:rsidR="00900896">
        <w:rPr>
          <w:rFonts w:cs="Calibri"/>
        </w:rPr>
        <w:t xml:space="preserve"> but </w:t>
      </w:r>
      <w:r w:rsidR="0004431D">
        <w:rPr>
          <w:rFonts w:cs="Calibri"/>
        </w:rPr>
        <w:t xml:space="preserve">it is an important </w:t>
      </w:r>
      <w:r w:rsidR="00375CF3">
        <w:rPr>
          <w:rFonts w:cs="Calibri"/>
        </w:rPr>
        <w:t>component</w:t>
      </w:r>
      <w:r w:rsidR="0004431D">
        <w:rPr>
          <w:rFonts w:cs="Calibri"/>
        </w:rPr>
        <w:t xml:space="preserve"> of </w:t>
      </w:r>
      <w:r w:rsidR="00900896">
        <w:rPr>
          <w:rFonts w:cs="Calibri"/>
        </w:rPr>
        <w:t xml:space="preserve">the </w:t>
      </w:r>
      <w:r w:rsidR="00E811DC">
        <w:rPr>
          <w:rFonts w:cs="Calibri"/>
        </w:rPr>
        <w:t>required co-ordinated approach</w:t>
      </w:r>
      <w:r w:rsidR="0031167A">
        <w:rPr>
          <w:rFonts w:cs="Calibri"/>
        </w:rPr>
        <w:t>.</w:t>
      </w:r>
      <w:r w:rsidR="006452E9">
        <w:rPr>
          <w:rFonts w:cs="Calibri"/>
        </w:rPr>
        <w:t xml:space="preserve"> </w:t>
      </w:r>
      <w:r w:rsidR="00794143">
        <w:rPr>
          <w:rFonts w:cs="Calibri"/>
        </w:rPr>
        <w:t xml:space="preserve"> </w:t>
      </w:r>
    </w:p>
    <w:p w:rsidR="00C40C04" w:rsidRDefault="00C40C04" w:rsidP="004C048C">
      <w:pPr>
        <w:spacing w:after="0" w:line="240" w:lineRule="auto"/>
        <w:jc w:val="both"/>
        <w:rPr>
          <w:rFonts w:cs="Calibri"/>
        </w:rPr>
      </w:pPr>
    </w:p>
    <w:p w:rsidR="006955D5" w:rsidRPr="006955D5" w:rsidRDefault="007F1E54" w:rsidP="004C048C">
      <w:pPr>
        <w:spacing w:after="0" w:line="240" w:lineRule="auto"/>
        <w:jc w:val="both"/>
        <w:rPr>
          <w:rFonts w:cs="Calibri"/>
          <w:b/>
        </w:rPr>
      </w:pPr>
      <w:r>
        <w:rPr>
          <w:rFonts w:cs="Calibri"/>
          <w:b/>
        </w:rPr>
        <w:t>2.5 Climate c</w:t>
      </w:r>
      <w:r w:rsidR="006955D5" w:rsidRPr="006955D5">
        <w:rPr>
          <w:rFonts w:cs="Calibri"/>
          <w:b/>
        </w:rPr>
        <w:t>hange</w:t>
      </w:r>
    </w:p>
    <w:p w:rsidR="00E412B8" w:rsidRDefault="00E412B8" w:rsidP="004C048C">
      <w:pPr>
        <w:spacing w:after="0" w:line="240" w:lineRule="auto"/>
        <w:rPr>
          <w:rFonts w:cs="Calibri"/>
          <w:lang w:val="en-GB"/>
        </w:rPr>
      </w:pPr>
    </w:p>
    <w:p w:rsidR="007103EE" w:rsidRDefault="00E412B8" w:rsidP="002128CD">
      <w:pPr>
        <w:spacing w:after="0" w:line="240" w:lineRule="auto"/>
        <w:jc w:val="both"/>
        <w:rPr>
          <w:rFonts w:cs="Calibri"/>
          <w:lang w:val="en-GB"/>
        </w:rPr>
      </w:pPr>
      <w:r w:rsidRPr="00E412B8">
        <w:rPr>
          <w:rFonts w:cs="Calibri"/>
        </w:rPr>
        <w:t>Methane (CH</w:t>
      </w:r>
      <w:r w:rsidR="005B6C35" w:rsidRPr="005B6C35">
        <w:rPr>
          <w:rFonts w:cs="Calibri"/>
          <w:vertAlign w:val="subscript"/>
        </w:rPr>
        <w:t>4</w:t>
      </w:r>
      <w:r w:rsidRPr="00E412B8">
        <w:rPr>
          <w:rFonts w:cs="Calibri"/>
        </w:rPr>
        <w:t>) and nitrous oxide (N</w:t>
      </w:r>
      <w:r w:rsidR="005B6C35" w:rsidRPr="005B6C35">
        <w:rPr>
          <w:rFonts w:cs="Calibri"/>
          <w:vertAlign w:val="subscript"/>
        </w:rPr>
        <w:t>2</w:t>
      </w:r>
      <w:r w:rsidRPr="00E412B8">
        <w:rPr>
          <w:rFonts w:cs="Calibri"/>
        </w:rPr>
        <w:t>O) make up the majority of Irish agriculture greenhouse gas (GHG) emissions, mainly due to the dominance of cattle and sheep livestock production. While methane is the most significant GHG emitted from agricultural activity in Ireland, it is difficult to mitigate as it arises principally from enteric fermentation.  The principal other GHG is N</w:t>
      </w:r>
      <w:r w:rsidR="005B6C35" w:rsidRPr="005B6C35">
        <w:rPr>
          <w:rFonts w:cs="Calibri"/>
          <w:vertAlign w:val="subscript"/>
        </w:rPr>
        <w:t>2</w:t>
      </w:r>
      <w:r w:rsidRPr="00E412B8">
        <w:rPr>
          <w:rFonts w:cs="Calibri"/>
        </w:rPr>
        <w:t>O which contributes up to 35% of Ireland’s agricultural GHG emissions. As N</w:t>
      </w:r>
      <w:r w:rsidR="005B6C35" w:rsidRPr="005B6C35">
        <w:rPr>
          <w:rFonts w:cs="Calibri"/>
          <w:vertAlign w:val="subscript"/>
        </w:rPr>
        <w:t>2</w:t>
      </w:r>
      <w:r w:rsidRPr="00E412B8">
        <w:rPr>
          <w:rFonts w:cs="Calibri"/>
        </w:rPr>
        <w:t>O emissions arise mainly from applications of nitrogen-based fertiliser and organic fertilisers to agricultural soils it provides</w:t>
      </w:r>
      <w:r w:rsidR="0078170C">
        <w:rPr>
          <w:rFonts w:cs="Calibri"/>
        </w:rPr>
        <w:t xml:space="preserve"> more opportunity for abatement</w:t>
      </w:r>
      <w:r w:rsidRPr="00E412B8">
        <w:rPr>
          <w:rFonts w:cs="Calibri"/>
        </w:rPr>
        <w:t>.</w:t>
      </w:r>
      <w:r>
        <w:rPr>
          <w:rFonts w:cs="Calibri"/>
        </w:rPr>
        <w:t xml:space="preserve"> </w:t>
      </w:r>
      <w:r w:rsidRPr="00E412B8">
        <w:rPr>
          <w:rFonts w:cs="Calibri"/>
          <w:lang w:val="en-GB"/>
        </w:rPr>
        <w:t>I</w:t>
      </w:r>
      <w:r w:rsidRPr="00E412B8">
        <w:rPr>
          <w:rFonts w:cs="Calibri"/>
        </w:rPr>
        <w:t>mproving soil fertility and optimising the nutrients in organic fertilisers are critical elements in driving improvements in N use efficiency, reducing N</w:t>
      </w:r>
      <w:r w:rsidR="005B6C35" w:rsidRPr="005B6C35">
        <w:rPr>
          <w:rFonts w:cs="Calibri"/>
          <w:vertAlign w:val="subscript"/>
        </w:rPr>
        <w:t>2</w:t>
      </w:r>
      <w:r w:rsidRPr="00E412B8">
        <w:rPr>
          <w:rFonts w:cs="Calibri"/>
        </w:rPr>
        <w:t>0 emissions.</w:t>
      </w:r>
      <w:r>
        <w:rPr>
          <w:rFonts w:cs="Calibri"/>
        </w:rPr>
        <w:t xml:space="preserve"> </w:t>
      </w:r>
      <w:r w:rsidRPr="00E412B8">
        <w:rPr>
          <w:rFonts w:cs="Calibri"/>
        </w:rPr>
        <w:t>Improving soil fertility potentially has co-benefits such as protecting and enhancing the soil carbon pool through improvements to sequestration, especially in grasslands.</w:t>
      </w:r>
      <w:r>
        <w:rPr>
          <w:rFonts w:cs="Calibri"/>
        </w:rPr>
        <w:t xml:space="preserve"> </w:t>
      </w:r>
      <w:r w:rsidRPr="00E412B8">
        <w:rPr>
          <w:rFonts w:cs="Calibri"/>
        </w:rPr>
        <w:t xml:space="preserve"> </w:t>
      </w:r>
      <w:r>
        <w:rPr>
          <w:rFonts w:cs="Calibri"/>
        </w:rPr>
        <w:t>Furthermore, t</w:t>
      </w:r>
      <w:r w:rsidRPr="00E412B8">
        <w:rPr>
          <w:rFonts w:cs="Calibri"/>
          <w:lang w:val="en-GB"/>
        </w:rPr>
        <w:t xml:space="preserve">he efficient use and recycling of livestock manure fertiliser within the Irish agricultural production system will offset some of the demand for artificial fertilisers.  </w:t>
      </w:r>
    </w:p>
    <w:p w:rsidR="007103EE" w:rsidRDefault="007103EE" w:rsidP="002128CD">
      <w:pPr>
        <w:spacing w:after="0" w:line="240" w:lineRule="auto"/>
        <w:jc w:val="both"/>
        <w:rPr>
          <w:rFonts w:cs="Calibri"/>
          <w:lang w:val="en-GB"/>
        </w:rPr>
      </w:pPr>
    </w:p>
    <w:p w:rsidR="00E412B8" w:rsidRPr="00E412B8" w:rsidRDefault="00E412B8" w:rsidP="002128CD">
      <w:pPr>
        <w:spacing w:after="0" w:line="240" w:lineRule="auto"/>
        <w:jc w:val="both"/>
        <w:rPr>
          <w:rFonts w:cs="Calibri"/>
          <w:lang w:val="en-GB"/>
        </w:rPr>
      </w:pPr>
      <w:r>
        <w:rPr>
          <w:rFonts w:cs="Calibri"/>
          <w:lang w:val="en-GB"/>
        </w:rPr>
        <w:t>The Review Group, in making the proposed changes to the NAP, has taken into account consequential climate change priorities.</w:t>
      </w:r>
    </w:p>
    <w:p w:rsidR="00E412B8" w:rsidRDefault="00E412B8" w:rsidP="004C048C">
      <w:pPr>
        <w:spacing w:after="0" w:line="240" w:lineRule="auto"/>
        <w:rPr>
          <w:rFonts w:ascii="Arial" w:hAnsi="Arial" w:cs="Arial"/>
          <w:sz w:val="24"/>
          <w:szCs w:val="24"/>
          <w:lang w:val="en-GB"/>
        </w:rPr>
      </w:pPr>
    </w:p>
    <w:p w:rsidR="00FA7019" w:rsidRPr="006955D5" w:rsidRDefault="006955D5" w:rsidP="004C048C">
      <w:pPr>
        <w:spacing w:after="0" w:line="240" w:lineRule="auto"/>
        <w:jc w:val="both"/>
        <w:rPr>
          <w:rFonts w:cs="Calibri"/>
        </w:rPr>
      </w:pPr>
      <w:r w:rsidRPr="006955D5">
        <w:rPr>
          <w:rFonts w:cs="Calibri"/>
          <w:b/>
        </w:rPr>
        <w:t>2.6</w:t>
      </w:r>
      <w:r w:rsidR="00C21CDD" w:rsidRPr="006955D5">
        <w:rPr>
          <w:rFonts w:cs="Calibri"/>
          <w:b/>
        </w:rPr>
        <w:t xml:space="preserve"> </w:t>
      </w:r>
      <w:r w:rsidR="00FA7019" w:rsidRPr="006955D5">
        <w:rPr>
          <w:rFonts w:cs="Calibri"/>
          <w:b/>
        </w:rPr>
        <w:t>Agricultural Catchments Programme</w:t>
      </w:r>
    </w:p>
    <w:p w:rsidR="00C93F44" w:rsidRDefault="00C93F44" w:rsidP="004C048C">
      <w:pPr>
        <w:spacing w:after="0" w:line="240" w:lineRule="auto"/>
        <w:jc w:val="both"/>
        <w:rPr>
          <w:rFonts w:cs="Calibri"/>
        </w:rPr>
      </w:pPr>
    </w:p>
    <w:p w:rsidR="00F5206B" w:rsidRPr="00976C8F" w:rsidRDefault="00F5206B" w:rsidP="00CA1EB3">
      <w:pPr>
        <w:spacing w:after="0" w:line="240" w:lineRule="auto"/>
        <w:jc w:val="both"/>
        <w:rPr>
          <w:bCs/>
        </w:rPr>
      </w:pPr>
      <w:r w:rsidRPr="00976C8F">
        <w:rPr>
          <w:bCs/>
        </w:rPr>
        <w:t xml:space="preserve">The </w:t>
      </w:r>
      <w:r>
        <w:rPr>
          <w:bCs/>
        </w:rPr>
        <w:t>primary function of</w:t>
      </w:r>
      <w:r w:rsidRPr="00976C8F">
        <w:rPr>
          <w:bCs/>
        </w:rPr>
        <w:t xml:space="preserve"> Agricultural Catchments Programme (ACP)</w:t>
      </w:r>
      <w:r>
        <w:rPr>
          <w:bCs/>
        </w:rPr>
        <w:t xml:space="preserve"> is</w:t>
      </w:r>
      <w:r w:rsidRPr="00976C8F">
        <w:rPr>
          <w:bCs/>
        </w:rPr>
        <w:t xml:space="preserve"> the evaluation of the effectiveness of the package of measures contained in Ireland’s NAP. The programme is operated by Teagasc and funded by </w:t>
      </w:r>
      <w:r w:rsidR="0094030E">
        <w:rPr>
          <w:bCs/>
        </w:rPr>
        <w:t>DAFM</w:t>
      </w:r>
      <w:r w:rsidRPr="00976C8F">
        <w:rPr>
          <w:bCs/>
        </w:rPr>
        <w:t>. Ireland’s agriculture and food landscape has evolved rapidly during the life of the project and increasing farm output, especially milk, is now an objective in national policy.</w:t>
      </w:r>
      <w:r w:rsidR="00F25753">
        <w:rPr>
          <w:bCs/>
        </w:rPr>
        <w:t xml:space="preserve"> The ACP </w:t>
      </w:r>
      <w:r w:rsidR="00061F78">
        <w:rPr>
          <w:bCs/>
        </w:rPr>
        <w:t xml:space="preserve">is constantly </w:t>
      </w:r>
      <w:r w:rsidR="00F25753">
        <w:rPr>
          <w:bCs/>
        </w:rPr>
        <w:t>reviewed to take account of the changing policy environment.</w:t>
      </w:r>
      <w:r w:rsidRPr="00976C8F">
        <w:rPr>
          <w:bCs/>
        </w:rPr>
        <w:t xml:space="preserve">  </w:t>
      </w:r>
    </w:p>
    <w:p w:rsidR="00867D2F" w:rsidRDefault="00867D2F" w:rsidP="00CA1EB3">
      <w:pPr>
        <w:spacing w:after="0" w:line="240" w:lineRule="auto"/>
        <w:jc w:val="both"/>
      </w:pPr>
    </w:p>
    <w:p w:rsidR="00CA1EB3" w:rsidRDefault="00F5206B" w:rsidP="00CA1EB3">
      <w:pPr>
        <w:spacing w:after="0" w:line="240" w:lineRule="auto"/>
        <w:jc w:val="both"/>
        <w:rPr>
          <w:rFonts w:asciiTheme="minorHAnsi" w:hAnsiTheme="minorHAnsi" w:cstheme="minorHAnsi"/>
          <w:color w:val="000000"/>
        </w:rPr>
      </w:pPr>
      <w:r w:rsidRPr="00976C8F">
        <w:t xml:space="preserve">Phase 2 of the Programme concluded in December 2015. This followed on from Phase 1 which finished at the end of 2011. In the eight years of Phase 1 and Phase 2 the programme has continuously developed and established itself as a unique asset in meeting Irish farming’s sustainable intensification challenge. </w:t>
      </w:r>
      <w:r w:rsidR="006E56FE" w:rsidRPr="006E56FE">
        <w:rPr>
          <w:rFonts w:asciiTheme="minorHAnsi" w:hAnsiTheme="minorHAnsi" w:cstheme="minorHAnsi"/>
          <w:iCs/>
          <w:color w:val="000000"/>
        </w:rPr>
        <w:t xml:space="preserve">Phase 1 was concerned with project design, development and </w:t>
      </w:r>
      <w:r w:rsidR="006E56FE" w:rsidRPr="006E56FE">
        <w:rPr>
          <w:rFonts w:asciiTheme="minorHAnsi" w:hAnsiTheme="minorHAnsi" w:cstheme="minorHAnsi"/>
          <w:iCs/>
          <w:color w:val="000000"/>
        </w:rPr>
        <w:lastRenderedPageBreak/>
        <w:t>establishing the science behind the processes at work in the catchments using the data collected in those years.  Phase 2 (2012-2015) has mainly been concerned with validation of the science and exploration of the potential policy impacts</w:t>
      </w:r>
      <w:r w:rsidR="00CA1EB3">
        <w:rPr>
          <w:rFonts w:asciiTheme="minorHAnsi" w:hAnsiTheme="minorHAnsi" w:cstheme="minorHAnsi"/>
          <w:color w:val="000000"/>
        </w:rPr>
        <w:t>.</w:t>
      </w:r>
    </w:p>
    <w:p w:rsidR="006E56FE" w:rsidRPr="006E56FE" w:rsidRDefault="006E56FE" w:rsidP="00CA1EB3">
      <w:pPr>
        <w:spacing w:after="0"/>
        <w:jc w:val="both"/>
        <w:rPr>
          <w:rFonts w:asciiTheme="minorHAnsi" w:hAnsiTheme="minorHAnsi" w:cstheme="minorHAnsi"/>
          <w:color w:val="000000"/>
        </w:rPr>
      </w:pPr>
      <w:r w:rsidRPr="006E56FE">
        <w:rPr>
          <w:rFonts w:asciiTheme="minorHAnsi" w:hAnsiTheme="minorHAnsi" w:cstheme="minorHAnsi"/>
          <w:color w:val="000000"/>
        </w:rPr>
        <w:t xml:space="preserve"> </w:t>
      </w:r>
    </w:p>
    <w:p w:rsidR="00F5206B" w:rsidRPr="00976C8F" w:rsidRDefault="00F5206B" w:rsidP="00CA1EB3">
      <w:pPr>
        <w:spacing w:after="0" w:line="240" w:lineRule="auto"/>
        <w:jc w:val="both"/>
      </w:pPr>
      <w:r w:rsidRPr="00976C8F">
        <w:t xml:space="preserve"> The ACP works in partnership with over 300 farmers in six intensively farmed catchments and this farmer engagement, which is built on the relationships of the advisers with their farmer clients, facilitates the research elements of the programme. The research work is carried out according to a single experimental design which</w:t>
      </w:r>
      <w:r w:rsidR="00867D2F">
        <w:t xml:space="preserve"> is</w:t>
      </w:r>
      <w:r w:rsidRPr="00976C8F">
        <w:t xml:space="preserve"> implemented rigorously in each catchment. A range of biophysical and socio-economic parameters are used to evaluate the impact of the NAP measures and the derogation implemented by farmers under the Nitrates Directive. The outcomes of this research provide a valuable insight into the processes that determine the impact of agricultural activity on water quality in the catchments. </w:t>
      </w:r>
    </w:p>
    <w:p w:rsidR="00867D2F" w:rsidRDefault="00867D2F" w:rsidP="004C048C">
      <w:pPr>
        <w:spacing w:after="0" w:line="240" w:lineRule="auto"/>
        <w:jc w:val="both"/>
      </w:pPr>
    </w:p>
    <w:p w:rsidR="00867D2F" w:rsidRDefault="00F5206B" w:rsidP="004C048C">
      <w:pPr>
        <w:spacing w:after="0" w:line="240" w:lineRule="auto"/>
        <w:jc w:val="both"/>
      </w:pPr>
      <w:r w:rsidRPr="00976C8F">
        <w:t xml:space="preserve">ACP research shows substantial changes in nutrient management </w:t>
      </w:r>
      <w:r>
        <w:t>on farms. T</w:t>
      </w:r>
      <w:r w:rsidRPr="00976C8F">
        <w:t>he proportion of fields with excess soil P has declined in four out of the five catchments and fields with very low or low P have increased indicating an overall decline in soil P levels thus reducing risk of P loss to water – this reflects national trends. However, soil type and geology can override soil P index as a predictor of P loss risk, therefore, a ‘one size fits all’ approach that does not take account of soil type may not adequately address P loss risk mitigation. Climate pressures can override both source and soil type - excessively wet years and wet pulses following dry periods have become more common patterns during the ACP monitoring period</w:t>
      </w:r>
      <w:r w:rsidR="00E811DC">
        <w:t>.</w:t>
      </w:r>
    </w:p>
    <w:p w:rsidR="00E811DC" w:rsidRDefault="00E811DC" w:rsidP="004C048C">
      <w:pPr>
        <w:spacing w:after="0" w:line="240" w:lineRule="auto"/>
        <w:jc w:val="both"/>
      </w:pPr>
    </w:p>
    <w:p w:rsidR="00F5206B" w:rsidRPr="009C774F" w:rsidRDefault="00F5206B" w:rsidP="004C048C">
      <w:pPr>
        <w:spacing w:after="0" w:line="240" w:lineRule="auto"/>
        <w:jc w:val="both"/>
      </w:pPr>
      <w:r w:rsidRPr="00976C8F">
        <w:t>Overall,</w:t>
      </w:r>
      <w:r>
        <w:t xml:space="preserve"> evidence from the ACP indicates</w:t>
      </w:r>
      <w:r w:rsidRPr="00976C8F">
        <w:t xml:space="preserve"> that supporting farmers</w:t>
      </w:r>
      <w:r w:rsidR="0046359B">
        <w:t>, through technical advice,</w:t>
      </w:r>
      <w:r w:rsidRPr="00976C8F">
        <w:t xml:space="preserve"> to make better decisions regarding how they manage nutrient applications is likely to be the single area with the greatest potential to improve outcomes for water quality on Irish farms</w:t>
      </w:r>
      <w:r w:rsidR="0046359B">
        <w:t xml:space="preserve">.  This </w:t>
      </w:r>
      <w:r w:rsidR="00F759B7">
        <w:t xml:space="preserve">should </w:t>
      </w:r>
      <w:r w:rsidR="00F759B7" w:rsidRPr="00976C8F">
        <w:t>deliver</w:t>
      </w:r>
      <w:r w:rsidRPr="00976C8F">
        <w:t xml:space="preserve"> </w:t>
      </w:r>
      <w:r w:rsidR="00375CF3">
        <w:t>increased efficiencies</w:t>
      </w:r>
      <w:r w:rsidRPr="00976C8F">
        <w:t xml:space="preserve"> for the farmer while reducing risk of nutrient loss to water.  </w:t>
      </w:r>
    </w:p>
    <w:p w:rsidR="00A10507" w:rsidRPr="006955D5" w:rsidRDefault="00A10507" w:rsidP="004C048C">
      <w:pPr>
        <w:spacing w:after="0" w:line="240" w:lineRule="auto"/>
        <w:jc w:val="both"/>
        <w:rPr>
          <w:rFonts w:cs="Calibri"/>
        </w:rPr>
      </w:pPr>
    </w:p>
    <w:p w:rsidR="00C21CDD" w:rsidRDefault="009D65EB" w:rsidP="004C048C">
      <w:pPr>
        <w:spacing w:after="0" w:line="240" w:lineRule="auto"/>
        <w:jc w:val="both"/>
        <w:rPr>
          <w:rFonts w:cs="Calibri"/>
          <w:b/>
        </w:rPr>
      </w:pPr>
      <w:r w:rsidRPr="006955D5">
        <w:rPr>
          <w:rFonts w:cs="Calibri"/>
          <w:b/>
        </w:rPr>
        <w:t>2.7</w:t>
      </w:r>
      <w:r w:rsidR="00E811DC" w:rsidRPr="006955D5">
        <w:rPr>
          <w:rFonts w:cs="Calibri"/>
          <w:b/>
        </w:rPr>
        <w:t xml:space="preserve"> </w:t>
      </w:r>
      <w:r w:rsidR="00C21CDD" w:rsidRPr="006955D5">
        <w:rPr>
          <w:rFonts w:cs="Calibri"/>
          <w:b/>
        </w:rPr>
        <w:t>Rural Development Programme</w:t>
      </w:r>
      <w:r w:rsidR="00E811DC" w:rsidRPr="006955D5">
        <w:rPr>
          <w:rFonts w:cs="Calibri"/>
          <w:b/>
        </w:rPr>
        <w:t xml:space="preserve"> 2014-2020</w:t>
      </w:r>
    </w:p>
    <w:p w:rsidR="004C048C" w:rsidRPr="006955D5" w:rsidRDefault="004C048C" w:rsidP="004C048C">
      <w:pPr>
        <w:spacing w:after="0" w:line="240" w:lineRule="auto"/>
        <w:jc w:val="both"/>
        <w:rPr>
          <w:rFonts w:cs="Calibri"/>
        </w:rPr>
      </w:pPr>
    </w:p>
    <w:p w:rsidR="008A56FD" w:rsidRPr="00CA003A" w:rsidRDefault="008A56FD" w:rsidP="004C048C">
      <w:pPr>
        <w:spacing w:after="0" w:line="240" w:lineRule="auto"/>
        <w:jc w:val="both"/>
        <w:rPr>
          <w:rFonts w:cs="Calibri"/>
        </w:rPr>
      </w:pPr>
      <w:r w:rsidRPr="00CA003A">
        <w:rPr>
          <w:rFonts w:cs="Calibri"/>
        </w:rPr>
        <w:t xml:space="preserve">The Nitrates Directive is designed to provide a basic general level of protection for the water environment against pollution from agricultural sources. It applies general binding rules on a whole territory approach bringing all farm nutrient (nitrogen and phosphorus) loading under a well-defined environmental regime. The universal application of the GAP Regulations to all farms within the State is a significant strength. However, as it is designed for such general application, the Regulations cannot specifically address more specific environmental issues, for example, the requirements of individual high status </w:t>
      </w:r>
      <w:r w:rsidR="002827B5">
        <w:rPr>
          <w:rFonts w:cs="Calibri"/>
        </w:rPr>
        <w:t>catchments</w:t>
      </w:r>
      <w:r w:rsidRPr="00CA003A">
        <w:rPr>
          <w:rFonts w:cs="Calibri"/>
        </w:rPr>
        <w:t xml:space="preserve">.  </w:t>
      </w:r>
      <w:r w:rsidR="002827B5">
        <w:rPr>
          <w:rFonts w:cs="Calibri"/>
        </w:rPr>
        <w:t xml:space="preserve">As mentioned above </w:t>
      </w:r>
      <w:r w:rsidR="002827B5" w:rsidRPr="002827B5">
        <w:rPr>
          <w:rFonts w:cs="Calibri"/>
        </w:rPr>
        <w:t xml:space="preserve">the establishment of a “Blue dot catchments programme” by local authorities </w:t>
      </w:r>
      <w:r w:rsidR="002827B5">
        <w:rPr>
          <w:rFonts w:cs="Calibri"/>
        </w:rPr>
        <w:t xml:space="preserve">is specifically </w:t>
      </w:r>
      <w:r w:rsidR="002827B5" w:rsidRPr="002827B5">
        <w:rPr>
          <w:rFonts w:cs="Calibri"/>
        </w:rPr>
        <w:t>aimed at providing a means of focussing attention and resources across a range of agencies with the aim of protecting, and where required, restoring high ecological status</w:t>
      </w:r>
      <w:r w:rsidR="002827B5">
        <w:rPr>
          <w:rFonts w:cs="Calibri"/>
        </w:rPr>
        <w:t xml:space="preserve"> in these catchments</w:t>
      </w:r>
      <w:r w:rsidR="002827B5" w:rsidRPr="002827B5">
        <w:rPr>
          <w:rFonts w:cs="Calibri"/>
        </w:rPr>
        <w:t xml:space="preserve">.  </w:t>
      </w:r>
    </w:p>
    <w:p w:rsidR="00867D2F" w:rsidRDefault="00867D2F" w:rsidP="004C048C">
      <w:pPr>
        <w:spacing w:after="0" w:line="240" w:lineRule="auto"/>
      </w:pPr>
    </w:p>
    <w:p w:rsidR="00A81FF8" w:rsidRDefault="00A81FF8" w:rsidP="002128CD">
      <w:pPr>
        <w:spacing w:after="0" w:line="240" w:lineRule="auto"/>
        <w:jc w:val="both"/>
      </w:pPr>
      <w:r>
        <w:t>With an enhanced focus on delivery of good environmental outcomes, a ‘targeted’ approach has been taken in the current Rural Deve</w:t>
      </w:r>
      <w:r w:rsidR="00E811DC">
        <w:t>lopment Programme (RDP 2014-2020</w:t>
      </w:r>
      <w:r>
        <w:t xml:space="preserve">). The </w:t>
      </w:r>
      <w:r w:rsidR="005C042A">
        <w:t>RDP consists</w:t>
      </w:r>
      <w:r>
        <w:t xml:space="preserve"> of a suite of measures designed to enhance the competitiveness of the agri-food sector, achieve more sustainable management of natural resources and ensure more balanced development of rural areas, with an enhanced focus on delivering positive environmental outcomes</w:t>
      </w:r>
      <w:r w:rsidR="00E811DC">
        <w:t xml:space="preserve"> including for water and climate change</w:t>
      </w:r>
      <w:r>
        <w:t xml:space="preserve">. </w:t>
      </w:r>
    </w:p>
    <w:p w:rsidR="002A5F7F" w:rsidRDefault="002A5F7F" w:rsidP="004C048C">
      <w:pPr>
        <w:spacing w:after="0" w:line="240" w:lineRule="auto"/>
      </w:pPr>
    </w:p>
    <w:p w:rsidR="00A81FF8" w:rsidRDefault="00A81FF8" w:rsidP="002128CD">
      <w:pPr>
        <w:spacing w:after="0" w:line="240" w:lineRule="auto"/>
        <w:jc w:val="both"/>
      </w:pPr>
      <w:r>
        <w:t>There is a strategic focus on water quality objectiv</w:t>
      </w:r>
      <w:r w:rsidR="00867D2F">
        <w:t>es.</w:t>
      </w:r>
      <w:r>
        <w:t xml:space="preserve"> </w:t>
      </w:r>
      <w:r w:rsidR="00867D2F">
        <w:t>T</w:t>
      </w:r>
      <w:r>
        <w:t xml:space="preserve">he Green Low Carbon Agri-Environment Scheme (GLAS) is a targeted agri-environment scheme under the RDP, with a budget of €1.4bn for the period 2014-2020 and 50,000 participating farmers. The objective of the scheme is to improve the rural environment by improving water quality, mitigating climate change and promoting </w:t>
      </w:r>
      <w:r>
        <w:lastRenderedPageBreak/>
        <w:t xml:space="preserve">biodiversity. Actions to-date such as fencing of watercourses (16,600 km), low input farming (281,600ha) and catch crops (24,800  ha) are examples of key measures at farm level for the protection of water. Participating farmers in </w:t>
      </w:r>
      <w:r w:rsidR="005C042A">
        <w:t>GLAS must</w:t>
      </w:r>
      <w:r>
        <w:t xml:space="preserve"> also engage a trained agricultural advisor, participate in action specific training, and have a nutrient management plan in place. Prioritisation of farms within vulnerable catchments and ‘high-status’ waterbodies is a key feature of the GLAS programme. Additionally, there is increased focus within the programme on ensuring farmers understand the reasoning behind the environmental benefits of the measures they are undertaking</w:t>
      </w:r>
      <w:r w:rsidR="00867D2F">
        <w:t xml:space="preserve">, improving </w:t>
      </w:r>
      <w:r>
        <w:t>implementation of</w:t>
      </w:r>
      <w:r w:rsidR="00867D2F">
        <w:t xml:space="preserve"> ‘best practices’ at farm level.</w:t>
      </w:r>
      <w:r>
        <w:t xml:space="preserve"> The cumulative environmental benefits from these actions are expected to materialise over the period towards 2020 and beyond and the results will be monitored and evaluated. </w:t>
      </w:r>
    </w:p>
    <w:p w:rsidR="00867D2F" w:rsidRDefault="00867D2F" w:rsidP="002128CD">
      <w:pPr>
        <w:spacing w:after="0" w:line="240" w:lineRule="auto"/>
        <w:jc w:val="both"/>
      </w:pPr>
    </w:p>
    <w:p w:rsidR="00A81FF8" w:rsidRDefault="00A81FF8" w:rsidP="002128CD">
      <w:pPr>
        <w:spacing w:after="0" w:line="240" w:lineRule="auto"/>
        <w:jc w:val="both"/>
      </w:pPr>
      <w:r>
        <w:t>Under the RDP 2014-2020</w:t>
      </w:r>
      <w:r w:rsidR="00CA1EB3">
        <w:t>,</w:t>
      </w:r>
      <w:r>
        <w:t xml:space="preserve"> the Targeted Agricultural Modernisation Schemes (TAMS) provides grant assistance to farmers for investments related to the pig and poultry sectors, dairy equipment, the storage of slurry, soiled water and other farmyard manures and related facilities. </w:t>
      </w:r>
      <w:r w:rsidR="00867D2F">
        <w:t xml:space="preserve">€190m </w:t>
      </w:r>
      <w:r>
        <w:t xml:space="preserve">is specifically targeted at two </w:t>
      </w:r>
      <w:r w:rsidR="00867D2F">
        <w:t xml:space="preserve">TAMS </w:t>
      </w:r>
      <w:r>
        <w:t xml:space="preserve">schemes </w:t>
      </w:r>
      <w:r w:rsidR="00867D2F">
        <w:t xml:space="preserve">benefiting the protection of water: </w:t>
      </w:r>
      <w:r>
        <w:t>the Animal Welfare, Safety and Nutrient Storage Scheme and the Low Emissio</w:t>
      </w:r>
      <w:r w:rsidR="00867D2F">
        <w:t>n Slurry Spreading Scheme. This</w:t>
      </w:r>
      <w:r>
        <w:t xml:space="preserve"> will lead to a significant investment in nutrient storage and improved nutrient utilisation</w:t>
      </w:r>
      <w:r w:rsidR="00E811DC">
        <w:t>.</w:t>
      </w:r>
      <w:r>
        <w:t xml:space="preserve"> </w:t>
      </w:r>
    </w:p>
    <w:p w:rsidR="00867D2F" w:rsidRDefault="00867D2F" w:rsidP="002128CD">
      <w:pPr>
        <w:spacing w:after="0" w:line="240" w:lineRule="auto"/>
        <w:jc w:val="both"/>
      </w:pPr>
    </w:p>
    <w:p w:rsidR="00A81FF8" w:rsidRDefault="007F1E54" w:rsidP="002128CD">
      <w:pPr>
        <w:spacing w:after="0" w:line="240" w:lineRule="auto"/>
        <w:jc w:val="both"/>
      </w:pPr>
      <w:r>
        <w:t xml:space="preserve">Furthermore under the </w:t>
      </w:r>
      <w:r w:rsidR="00A81FF8">
        <w:t>RDP 2014-202</w:t>
      </w:r>
      <w:r w:rsidR="00CA1EB3">
        <w:t>,</w:t>
      </w:r>
      <w:r w:rsidR="00A81FF8">
        <w:t xml:space="preserve"> there is a focus on </w:t>
      </w:r>
      <w:r w:rsidR="005C042A">
        <w:t>the ‘bottom</w:t>
      </w:r>
      <w:r w:rsidR="00A81FF8">
        <w:t>-up’ approach to delivery of environmental objectives by means of ‘Locally L</w:t>
      </w:r>
      <w:r w:rsidR="00E811DC">
        <w:t>ed Agri-Environment Schemes’ with</w:t>
      </w:r>
      <w:r w:rsidR="00A81FF8">
        <w:t xml:space="preserve"> a budget of €70 million. This includes a locally-led Freshwater Pearl Mussel (FPM) Scheme targeting 8 priority Freshwater Pearl mussel sites </w:t>
      </w:r>
      <w:r w:rsidR="005C042A">
        <w:t>which will</w:t>
      </w:r>
      <w:r w:rsidR="00A81FF8">
        <w:t xml:space="preserve"> be launched in late 2017. </w:t>
      </w:r>
    </w:p>
    <w:p w:rsidR="00E412B8" w:rsidRDefault="00E412B8" w:rsidP="002128CD">
      <w:pPr>
        <w:autoSpaceDE w:val="0"/>
        <w:autoSpaceDN w:val="0"/>
        <w:adjustRightInd w:val="0"/>
        <w:spacing w:after="0" w:line="240" w:lineRule="auto"/>
        <w:jc w:val="both"/>
        <w:rPr>
          <w:rFonts w:ascii="Arial" w:hAnsi="Arial" w:cs="Arial"/>
          <w:color w:val="000000"/>
          <w:sz w:val="24"/>
          <w:szCs w:val="24"/>
        </w:rPr>
      </w:pPr>
    </w:p>
    <w:p w:rsidR="00E412B8" w:rsidRPr="00E412B8" w:rsidRDefault="00E412B8" w:rsidP="002128CD">
      <w:pPr>
        <w:autoSpaceDE w:val="0"/>
        <w:autoSpaceDN w:val="0"/>
        <w:adjustRightInd w:val="0"/>
        <w:spacing w:after="0" w:line="240" w:lineRule="auto"/>
        <w:jc w:val="both"/>
        <w:rPr>
          <w:rFonts w:cs="Calibri"/>
          <w:color w:val="000000"/>
        </w:rPr>
      </w:pPr>
      <w:r w:rsidRPr="00E412B8">
        <w:rPr>
          <w:rFonts w:cs="Calibri"/>
          <w:color w:val="000000"/>
        </w:rPr>
        <w:t xml:space="preserve">A budget of €100m has been allocated under Ireland’s Rural Development Programme (2014-2020) for knowledge transfer (KT), targeting over 20,000 farms. The KT programme is aimed at the adoption of best practice. This voluntary programme will help to ensure </w:t>
      </w:r>
      <w:r w:rsidR="00F7013A" w:rsidRPr="00E412B8">
        <w:rPr>
          <w:rFonts w:cs="Calibri"/>
          <w:color w:val="000000"/>
        </w:rPr>
        <w:t>th</w:t>
      </w:r>
      <w:r w:rsidR="00F7013A">
        <w:rPr>
          <w:rFonts w:cs="Calibri"/>
          <w:color w:val="000000"/>
        </w:rPr>
        <w:t>at</w:t>
      </w:r>
      <w:r w:rsidR="00F7013A" w:rsidRPr="00E412B8">
        <w:rPr>
          <w:rFonts w:cs="Calibri"/>
          <w:color w:val="000000"/>
        </w:rPr>
        <w:t xml:space="preserve"> </w:t>
      </w:r>
      <w:r w:rsidRPr="00E412B8">
        <w:rPr>
          <w:rFonts w:cs="Calibri"/>
          <w:color w:val="000000"/>
        </w:rPr>
        <w:t xml:space="preserve">participating farmers fully implement the relevant plans and practices for the protection of water, including the prevention of pollution from farmyards, effective nutrient management planning and identifying vulnerable areas and relevant measures. </w:t>
      </w:r>
    </w:p>
    <w:p w:rsidR="005C042A" w:rsidRDefault="005C042A" w:rsidP="004C048C">
      <w:pPr>
        <w:spacing w:after="0" w:line="240" w:lineRule="auto"/>
        <w:jc w:val="both"/>
        <w:rPr>
          <w:rFonts w:cs="Calibri"/>
        </w:rPr>
      </w:pPr>
    </w:p>
    <w:p w:rsidR="00CA51A2" w:rsidRDefault="00CA51A2" w:rsidP="004C048C">
      <w:pPr>
        <w:spacing w:after="0" w:line="240" w:lineRule="auto"/>
        <w:jc w:val="both"/>
        <w:rPr>
          <w:rFonts w:cs="Calibri"/>
          <w:b/>
          <w:u w:val="single"/>
        </w:rPr>
      </w:pPr>
      <w:r w:rsidRPr="00C42AF1">
        <w:rPr>
          <w:rFonts w:cs="Calibri"/>
          <w:b/>
          <w:u w:val="single"/>
        </w:rPr>
        <w:t xml:space="preserve">3. Main Issues Raised in Public Consultation </w:t>
      </w:r>
      <w:r w:rsidR="00C42AF1" w:rsidRPr="00C42AF1">
        <w:rPr>
          <w:rFonts w:cs="Calibri"/>
          <w:b/>
          <w:u w:val="single"/>
        </w:rPr>
        <w:t>and Group Recommendations</w:t>
      </w:r>
    </w:p>
    <w:p w:rsidR="00E811DC" w:rsidRPr="00C42AF1" w:rsidRDefault="00E811DC" w:rsidP="004C048C">
      <w:pPr>
        <w:spacing w:after="0" w:line="240" w:lineRule="auto"/>
        <w:jc w:val="both"/>
        <w:rPr>
          <w:rFonts w:cs="Calibri"/>
          <w:b/>
          <w:u w:val="single"/>
        </w:rPr>
      </w:pPr>
    </w:p>
    <w:p w:rsidR="00C42AF1" w:rsidRPr="007103EE" w:rsidRDefault="007F1E54" w:rsidP="004C048C">
      <w:pPr>
        <w:spacing w:after="0" w:line="240" w:lineRule="auto"/>
        <w:rPr>
          <w:rFonts w:cs="Calibri"/>
          <w:b/>
        </w:rPr>
      </w:pPr>
      <w:r>
        <w:rPr>
          <w:rFonts w:cs="Calibri"/>
          <w:b/>
        </w:rPr>
        <w:t>3.1 Approach to reviewing the s</w:t>
      </w:r>
      <w:r w:rsidR="00C42AF1" w:rsidRPr="007103EE">
        <w:rPr>
          <w:rFonts w:cs="Calibri"/>
          <w:b/>
        </w:rPr>
        <w:t>ubmissions</w:t>
      </w:r>
    </w:p>
    <w:p w:rsidR="004C048C" w:rsidRDefault="004C048C" w:rsidP="004C048C">
      <w:pPr>
        <w:spacing w:after="0" w:line="240" w:lineRule="auto"/>
        <w:rPr>
          <w:rFonts w:cs="Calibri"/>
        </w:rPr>
      </w:pPr>
    </w:p>
    <w:p w:rsidR="005D63F9" w:rsidRDefault="00C42AF1" w:rsidP="00CA1EB3">
      <w:pPr>
        <w:spacing w:after="0" w:line="240" w:lineRule="auto"/>
        <w:jc w:val="both"/>
        <w:rPr>
          <w:rFonts w:cs="Calibri"/>
        </w:rPr>
      </w:pPr>
      <w:r>
        <w:rPr>
          <w:rFonts w:cs="Calibri"/>
        </w:rPr>
        <w:t>As with the last public consultation in relation to the delivery of NAP</w:t>
      </w:r>
      <w:r w:rsidR="00531370">
        <w:rPr>
          <w:rFonts w:cs="Calibri"/>
        </w:rPr>
        <w:t>3</w:t>
      </w:r>
      <w:r>
        <w:rPr>
          <w:rFonts w:cs="Calibri"/>
        </w:rPr>
        <w:t xml:space="preserve">, this public consultation process produced many </w:t>
      </w:r>
      <w:r w:rsidR="00206F3D">
        <w:rPr>
          <w:rFonts w:cs="Calibri"/>
        </w:rPr>
        <w:t xml:space="preserve">detailed and </w:t>
      </w:r>
      <w:r>
        <w:rPr>
          <w:rFonts w:cs="Calibri"/>
        </w:rPr>
        <w:t xml:space="preserve">considered </w:t>
      </w:r>
      <w:r w:rsidR="00206F3D">
        <w:rPr>
          <w:rFonts w:cs="Calibri"/>
        </w:rPr>
        <w:t>submissions</w:t>
      </w:r>
      <w:r>
        <w:rPr>
          <w:rFonts w:cs="Calibri"/>
        </w:rPr>
        <w:t xml:space="preserve">.  </w:t>
      </w:r>
      <w:r w:rsidR="002B1360">
        <w:rPr>
          <w:rFonts w:cs="Calibri"/>
        </w:rPr>
        <w:t>The Review Group</w:t>
      </w:r>
      <w:r w:rsidR="00895698">
        <w:rPr>
          <w:rFonts w:cs="Calibri"/>
        </w:rPr>
        <w:t>,</w:t>
      </w:r>
      <w:r w:rsidR="002B1360">
        <w:rPr>
          <w:rFonts w:cs="Calibri"/>
        </w:rPr>
        <w:t xml:space="preserve"> in considering all submissions</w:t>
      </w:r>
      <w:r w:rsidR="00895698">
        <w:rPr>
          <w:rFonts w:cs="Calibri"/>
        </w:rPr>
        <w:t xml:space="preserve">, </w:t>
      </w:r>
      <w:r w:rsidR="00E811DC">
        <w:rPr>
          <w:rFonts w:cs="Calibri"/>
        </w:rPr>
        <w:t>also</w:t>
      </w:r>
      <w:r w:rsidR="00895698">
        <w:rPr>
          <w:rFonts w:cs="Calibri"/>
        </w:rPr>
        <w:t xml:space="preserve"> took</w:t>
      </w:r>
      <w:r w:rsidR="002B1360">
        <w:rPr>
          <w:rFonts w:cs="Calibri"/>
        </w:rPr>
        <w:t xml:space="preserve"> into account EPA water quality monitoring data and both current and emerging agricultural pressures on water quality. </w:t>
      </w:r>
      <w:r w:rsidR="008B29B4">
        <w:rPr>
          <w:rFonts w:cs="Calibri"/>
        </w:rPr>
        <w:t>T</w:t>
      </w:r>
      <w:r w:rsidR="00985481">
        <w:rPr>
          <w:rFonts w:cs="Calibri"/>
        </w:rPr>
        <w:t>he</w:t>
      </w:r>
      <w:r w:rsidR="002B1360">
        <w:rPr>
          <w:rFonts w:cs="Calibri"/>
        </w:rPr>
        <w:t xml:space="preserve"> </w:t>
      </w:r>
      <w:r w:rsidR="00985481">
        <w:rPr>
          <w:rFonts w:cs="Calibri"/>
        </w:rPr>
        <w:t xml:space="preserve">Group sought to focus its advice to the Departments </w:t>
      </w:r>
      <w:r w:rsidR="008B29B4">
        <w:rPr>
          <w:rFonts w:cs="Calibri"/>
        </w:rPr>
        <w:t xml:space="preserve">on the major themes emerging from the </w:t>
      </w:r>
      <w:r w:rsidR="00985481">
        <w:rPr>
          <w:rFonts w:cs="Calibri"/>
        </w:rPr>
        <w:t>public consultation and to make clear the Group’s advice and/or recommendations o</w:t>
      </w:r>
      <w:r w:rsidR="005C042A">
        <w:rPr>
          <w:rFonts w:cs="Calibri"/>
        </w:rPr>
        <w:t>n these for the purposes of NAP4</w:t>
      </w:r>
      <w:r w:rsidR="00985481">
        <w:rPr>
          <w:rFonts w:cs="Calibri"/>
        </w:rPr>
        <w:t>.</w:t>
      </w:r>
      <w:r w:rsidR="00AC3352">
        <w:rPr>
          <w:rFonts w:cs="Calibri"/>
        </w:rPr>
        <w:t xml:space="preserve"> The submissions and recommended changes to the NAP can be </w:t>
      </w:r>
      <w:r w:rsidR="005C042A">
        <w:rPr>
          <w:rFonts w:cs="Calibri"/>
        </w:rPr>
        <w:t>categorised</w:t>
      </w:r>
      <w:r w:rsidR="00AC3352">
        <w:rPr>
          <w:rFonts w:cs="Calibri"/>
        </w:rPr>
        <w:t xml:space="preserve"> as follows</w:t>
      </w:r>
      <w:r w:rsidR="005C042A">
        <w:rPr>
          <w:rFonts w:cs="Calibri"/>
        </w:rPr>
        <w:t xml:space="preserve"> – </w:t>
      </w:r>
    </w:p>
    <w:p w:rsidR="00AC3352" w:rsidRDefault="00AC3352" w:rsidP="004C048C">
      <w:pPr>
        <w:numPr>
          <w:ilvl w:val="0"/>
          <w:numId w:val="34"/>
        </w:numPr>
        <w:spacing w:after="0" w:line="240" w:lineRule="auto"/>
        <w:rPr>
          <w:rFonts w:cs="Calibri"/>
        </w:rPr>
      </w:pPr>
      <w:r>
        <w:rPr>
          <w:rFonts w:cs="Calibri"/>
        </w:rPr>
        <w:t>New strengthened water protection measures</w:t>
      </w:r>
    </w:p>
    <w:p w:rsidR="00747A3D" w:rsidRDefault="00747A3D" w:rsidP="00747A3D">
      <w:pPr>
        <w:numPr>
          <w:ilvl w:val="0"/>
          <w:numId w:val="24"/>
        </w:numPr>
        <w:spacing w:after="0" w:line="240" w:lineRule="auto"/>
        <w:rPr>
          <w:rFonts w:cs="Calibri"/>
        </w:rPr>
      </w:pPr>
      <w:r>
        <w:rPr>
          <w:rFonts w:cs="Calibri"/>
        </w:rPr>
        <w:t>Enhanced Knowledge Transfer</w:t>
      </w:r>
    </w:p>
    <w:p w:rsidR="00747A3D" w:rsidRPr="00867D2F" w:rsidRDefault="00747A3D" w:rsidP="00747A3D">
      <w:pPr>
        <w:numPr>
          <w:ilvl w:val="0"/>
          <w:numId w:val="24"/>
        </w:numPr>
        <w:spacing w:after="0" w:line="240" w:lineRule="auto"/>
        <w:rPr>
          <w:rFonts w:cs="Calibri"/>
        </w:rPr>
      </w:pPr>
      <w:r w:rsidRPr="00867D2F">
        <w:rPr>
          <w:rFonts w:cs="Calibri"/>
        </w:rPr>
        <w:t>Simplification of the regulations for improved implementation</w:t>
      </w:r>
    </w:p>
    <w:p w:rsidR="00867D2F" w:rsidRDefault="00AC3352" w:rsidP="004C048C">
      <w:pPr>
        <w:numPr>
          <w:ilvl w:val="0"/>
          <w:numId w:val="24"/>
        </w:numPr>
        <w:spacing w:after="0" w:line="240" w:lineRule="auto"/>
        <w:rPr>
          <w:rFonts w:cs="Calibri"/>
        </w:rPr>
      </w:pPr>
      <w:r w:rsidRPr="00867D2F">
        <w:rPr>
          <w:rFonts w:cs="Calibri"/>
        </w:rPr>
        <w:t xml:space="preserve">Achieving optimum soil fertility and improving nutrient use efficiency </w:t>
      </w:r>
    </w:p>
    <w:p w:rsidR="00AC3352" w:rsidRDefault="00AC3352" w:rsidP="004C048C">
      <w:pPr>
        <w:numPr>
          <w:ilvl w:val="0"/>
          <w:numId w:val="24"/>
        </w:numPr>
        <w:spacing w:after="0" w:line="240" w:lineRule="auto"/>
        <w:rPr>
          <w:rFonts w:cs="Calibri"/>
        </w:rPr>
      </w:pPr>
      <w:r>
        <w:rPr>
          <w:rFonts w:cs="Calibri"/>
        </w:rPr>
        <w:t xml:space="preserve">Limited </w:t>
      </w:r>
      <w:r w:rsidR="005C042A">
        <w:rPr>
          <w:rFonts w:cs="Calibri"/>
        </w:rPr>
        <w:t>adjustments</w:t>
      </w:r>
      <w:r>
        <w:rPr>
          <w:rFonts w:cs="Calibri"/>
        </w:rPr>
        <w:t xml:space="preserve"> to nutrient allowances and application</w:t>
      </w:r>
    </w:p>
    <w:p w:rsidR="00AC3352" w:rsidRDefault="00AC3352" w:rsidP="004C048C">
      <w:pPr>
        <w:numPr>
          <w:ilvl w:val="0"/>
          <w:numId w:val="24"/>
        </w:numPr>
        <w:spacing w:after="0" w:line="240" w:lineRule="auto"/>
        <w:rPr>
          <w:rFonts w:cs="Calibri"/>
        </w:rPr>
      </w:pPr>
      <w:r>
        <w:rPr>
          <w:rFonts w:cs="Calibri"/>
        </w:rPr>
        <w:t>Additional minor and technical changes to the regulation</w:t>
      </w:r>
    </w:p>
    <w:p w:rsidR="00F63663" w:rsidRPr="007103EE" w:rsidRDefault="00F63663" w:rsidP="004C048C">
      <w:pPr>
        <w:spacing w:after="0" w:line="240" w:lineRule="auto"/>
        <w:rPr>
          <w:rFonts w:cs="Calibri"/>
          <w:u w:val="single"/>
        </w:rPr>
      </w:pPr>
    </w:p>
    <w:p w:rsidR="00866277" w:rsidRDefault="00866277">
      <w:pPr>
        <w:spacing w:after="0" w:line="240" w:lineRule="auto"/>
        <w:rPr>
          <w:rFonts w:cs="Calibri"/>
          <w:b/>
          <w:u w:val="single"/>
        </w:rPr>
      </w:pPr>
      <w:r>
        <w:rPr>
          <w:rFonts w:cs="Calibri"/>
          <w:b/>
          <w:u w:val="single"/>
        </w:rPr>
        <w:br w:type="page"/>
      </w:r>
    </w:p>
    <w:p w:rsidR="0056660A" w:rsidRPr="007103EE" w:rsidRDefault="00366C23" w:rsidP="004C048C">
      <w:pPr>
        <w:spacing w:after="0" w:line="240" w:lineRule="auto"/>
        <w:rPr>
          <w:rFonts w:cs="Calibri"/>
          <w:b/>
          <w:u w:val="single"/>
        </w:rPr>
      </w:pPr>
      <w:r w:rsidRPr="007103EE">
        <w:rPr>
          <w:rFonts w:cs="Calibri"/>
          <w:b/>
          <w:u w:val="single"/>
        </w:rPr>
        <w:lastRenderedPageBreak/>
        <w:t xml:space="preserve">3.2 </w:t>
      </w:r>
      <w:r w:rsidR="007103EE" w:rsidRPr="007103EE">
        <w:rPr>
          <w:rFonts w:cs="Calibri"/>
          <w:b/>
          <w:u w:val="single"/>
        </w:rPr>
        <w:t xml:space="preserve"> </w:t>
      </w:r>
      <w:r w:rsidRPr="007103EE">
        <w:rPr>
          <w:rFonts w:cs="Calibri"/>
          <w:b/>
          <w:u w:val="single"/>
        </w:rPr>
        <w:t>New</w:t>
      </w:r>
      <w:r w:rsidR="00CA1EB3">
        <w:rPr>
          <w:rFonts w:cs="Calibri"/>
          <w:b/>
          <w:u w:val="single"/>
        </w:rPr>
        <w:t xml:space="preserve"> s</w:t>
      </w:r>
      <w:r w:rsidR="00531370" w:rsidRPr="007103EE">
        <w:rPr>
          <w:rFonts w:cs="Calibri"/>
          <w:b/>
          <w:u w:val="single"/>
        </w:rPr>
        <w:t>trengthened water protection measures</w:t>
      </w:r>
    </w:p>
    <w:p w:rsidR="004C048C" w:rsidRDefault="004C048C" w:rsidP="004C048C">
      <w:pPr>
        <w:spacing w:after="0" w:line="240" w:lineRule="auto"/>
        <w:rPr>
          <w:rFonts w:cs="Calibri"/>
          <w:b/>
          <w:u w:val="single"/>
        </w:rPr>
      </w:pPr>
    </w:p>
    <w:p w:rsidR="008F2BC1" w:rsidRDefault="008F2BC1" w:rsidP="002128CD">
      <w:pPr>
        <w:tabs>
          <w:tab w:val="left" w:pos="0"/>
        </w:tabs>
        <w:spacing w:after="0" w:line="240" w:lineRule="auto"/>
        <w:jc w:val="both"/>
      </w:pPr>
      <w:r>
        <w:rPr>
          <w:rFonts w:cs="Calibri"/>
        </w:rPr>
        <w:t xml:space="preserve">The </w:t>
      </w:r>
      <w:r w:rsidR="00867D2F">
        <w:rPr>
          <w:rFonts w:cs="Calibri"/>
        </w:rPr>
        <w:t xml:space="preserve">Review </w:t>
      </w:r>
      <w:r>
        <w:rPr>
          <w:rFonts w:cs="Calibri"/>
        </w:rPr>
        <w:t xml:space="preserve">Group agreed on the </w:t>
      </w:r>
      <w:r w:rsidR="00FD0AFC">
        <w:rPr>
          <w:rFonts w:cs="Calibri"/>
        </w:rPr>
        <w:t>requirement for additional</w:t>
      </w:r>
      <w:r>
        <w:rPr>
          <w:rFonts w:cs="Calibri"/>
        </w:rPr>
        <w:t xml:space="preserve"> measures for achieving</w:t>
      </w:r>
      <w:r>
        <w:t xml:space="preserve"> incremental i</w:t>
      </w:r>
      <w:r w:rsidR="007F078A">
        <w:t>mprovements to the existing NAP,</w:t>
      </w:r>
      <w:r>
        <w:t xml:space="preserve"> build</w:t>
      </w:r>
      <w:r w:rsidR="007F078A">
        <w:t>ing</w:t>
      </w:r>
      <w:r>
        <w:t xml:space="preserve"> on the </w:t>
      </w:r>
      <w:r w:rsidR="00264817">
        <w:t>a</w:t>
      </w:r>
      <w:r w:rsidR="00895698">
        <w:t xml:space="preserve">chievements made to </w:t>
      </w:r>
      <w:r>
        <w:t>date.</w:t>
      </w:r>
      <w:r w:rsidR="00486170">
        <w:t xml:space="preserve"> The</w:t>
      </w:r>
      <w:r w:rsidR="00264817">
        <w:t xml:space="preserve"> new measures </w:t>
      </w:r>
      <w:r w:rsidR="00FD0AFC">
        <w:t xml:space="preserve">recommended by the </w:t>
      </w:r>
      <w:r w:rsidR="00867D2F">
        <w:t>Group focus on</w:t>
      </w:r>
      <w:r w:rsidR="00264817">
        <w:t xml:space="preserve"> </w:t>
      </w:r>
      <w:r w:rsidR="00FD0AFC">
        <w:t xml:space="preserve">intercepting and breaking nutrient transport pathways and </w:t>
      </w:r>
      <w:r w:rsidR="00264817">
        <w:t>preventing sediment and nutrient losses to waters</w:t>
      </w:r>
      <w:r w:rsidR="00895698">
        <w:t xml:space="preserve"> and </w:t>
      </w:r>
      <w:r w:rsidR="005C042A">
        <w:t>are</w:t>
      </w:r>
      <w:r w:rsidR="00FD0AFC">
        <w:t xml:space="preserve"> as follows </w:t>
      </w:r>
      <w:r w:rsidR="004C048C">
        <w:t>–</w:t>
      </w:r>
      <w:r w:rsidR="00FD0AFC">
        <w:t xml:space="preserve"> </w:t>
      </w:r>
    </w:p>
    <w:p w:rsidR="004C048C" w:rsidRPr="0056660A" w:rsidRDefault="004C048C" w:rsidP="004C048C">
      <w:pPr>
        <w:tabs>
          <w:tab w:val="left" w:pos="0"/>
        </w:tabs>
        <w:spacing w:after="0" w:line="240" w:lineRule="auto"/>
        <w:rPr>
          <w:rFonts w:cs="Calibri"/>
          <w:b/>
          <w:u w:val="single"/>
        </w:rPr>
      </w:pPr>
    </w:p>
    <w:p w:rsidR="008F2BC1" w:rsidRPr="00486170" w:rsidRDefault="00FD0AFC" w:rsidP="004C048C">
      <w:pPr>
        <w:numPr>
          <w:ilvl w:val="2"/>
          <w:numId w:val="35"/>
        </w:numPr>
        <w:spacing w:after="0" w:line="240" w:lineRule="auto"/>
        <w:rPr>
          <w:rFonts w:cs="Calibri"/>
          <w:b/>
        </w:rPr>
      </w:pPr>
      <w:r w:rsidRPr="00486170">
        <w:rPr>
          <w:rFonts w:cs="Calibri"/>
          <w:b/>
        </w:rPr>
        <w:t>The exclusion of bovines from watercourses on farm</w:t>
      </w:r>
      <w:r w:rsidR="009441DA">
        <w:rPr>
          <w:rFonts w:cs="Calibri"/>
          <w:b/>
        </w:rPr>
        <w:t>s</w:t>
      </w:r>
      <w:r w:rsidRPr="00486170">
        <w:rPr>
          <w:rFonts w:cs="Calibri"/>
          <w:b/>
        </w:rPr>
        <w:t xml:space="preserve"> with </w:t>
      </w:r>
      <w:r w:rsidR="009441DA">
        <w:rPr>
          <w:rFonts w:cs="Calibri"/>
          <w:b/>
        </w:rPr>
        <w:t xml:space="preserve">grassland </w:t>
      </w:r>
      <w:r w:rsidRPr="00486170">
        <w:rPr>
          <w:rFonts w:cs="Calibri"/>
          <w:b/>
        </w:rPr>
        <w:t>stocking rates above 170 kg N/ ha</w:t>
      </w:r>
    </w:p>
    <w:p w:rsidR="00871934" w:rsidRDefault="00871934" w:rsidP="004C048C">
      <w:pPr>
        <w:spacing w:after="0" w:line="240" w:lineRule="auto"/>
        <w:rPr>
          <w:rFonts w:cs="Calibri"/>
        </w:rPr>
      </w:pPr>
    </w:p>
    <w:p w:rsidR="006B533B" w:rsidRDefault="00E811DC" w:rsidP="002128CD">
      <w:pPr>
        <w:spacing w:after="0" w:line="240" w:lineRule="auto"/>
        <w:jc w:val="both"/>
        <w:rPr>
          <w:rFonts w:cs="Calibri"/>
        </w:rPr>
      </w:pPr>
      <w:r>
        <w:rPr>
          <w:rFonts w:cs="Calibri"/>
        </w:rPr>
        <w:t>Cattle access to water</w:t>
      </w:r>
      <w:r w:rsidR="00FD0AFC">
        <w:rPr>
          <w:rFonts w:cs="Calibri"/>
        </w:rPr>
        <w:t xml:space="preserve">courses is often considered a pressure as a result of potential increased nutrient and sediment </w:t>
      </w:r>
      <w:r w:rsidR="002A7DBB">
        <w:rPr>
          <w:rFonts w:cs="Calibri"/>
        </w:rPr>
        <w:t xml:space="preserve">inputs </w:t>
      </w:r>
      <w:r w:rsidR="005C042A">
        <w:rPr>
          <w:rFonts w:cs="Calibri"/>
        </w:rPr>
        <w:t>caused</w:t>
      </w:r>
      <w:r w:rsidR="002A7DBB">
        <w:rPr>
          <w:rFonts w:cs="Calibri"/>
        </w:rPr>
        <w:t xml:space="preserve"> by both direct contaminat</w:t>
      </w:r>
      <w:r w:rsidR="006D4A1C">
        <w:rPr>
          <w:rFonts w:cs="Calibri"/>
        </w:rPr>
        <w:t>ion and erosion of banks</w:t>
      </w:r>
      <w:r>
        <w:rPr>
          <w:rFonts w:cs="Calibri"/>
        </w:rPr>
        <w:t xml:space="preserve">; </w:t>
      </w:r>
      <w:r w:rsidR="00553903">
        <w:rPr>
          <w:rFonts w:cs="Calibri"/>
        </w:rPr>
        <w:t>this can result</w:t>
      </w:r>
      <w:r w:rsidR="006D4A1C">
        <w:rPr>
          <w:rFonts w:cs="Calibri"/>
        </w:rPr>
        <w:t xml:space="preserve"> in </w:t>
      </w:r>
      <w:r w:rsidR="002A7DBB">
        <w:rPr>
          <w:rFonts w:cs="Calibri"/>
        </w:rPr>
        <w:t>siltation and overland nutrient flow. The Group noted studies suggest</w:t>
      </w:r>
      <w:r w:rsidR="006B533B">
        <w:rPr>
          <w:rFonts w:cs="Calibri"/>
        </w:rPr>
        <w:t>ing</w:t>
      </w:r>
      <w:r w:rsidR="002A7DBB">
        <w:rPr>
          <w:rFonts w:cs="Calibri"/>
        </w:rPr>
        <w:t xml:space="preserve"> that unrestricted cattle access can result on deteriorating water quality and </w:t>
      </w:r>
      <w:r w:rsidR="006B533B">
        <w:rPr>
          <w:rFonts w:cs="Calibri"/>
        </w:rPr>
        <w:t xml:space="preserve">also </w:t>
      </w:r>
      <w:r w:rsidR="002A7DBB">
        <w:rPr>
          <w:rFonts w:cs="Calibri"/>
        </w:rPr>
        <w:t>that there are divergent</w:t>
      </w:r>
      <w:r w:rsidR="006B533B">
        <w:rPr>
          <w:rFonts w:cs="Calibri"/>
        </w:rPr>
        <w:t xml:space="preserve"> overall conclusions. It is further</w:t>
      </w:r>
      <w:r w:rsidR="002A7DBB">
        <w:rPr>
          <w:rFonts w:cs="Calibri"/>
        </w:rPr>
        <w:t xml:space="preserve"> noted that the </w:t>
      </w:r>
      <w:r w:rsidR="005C042A">
        <w:rPr>
          <w:rFonts w:cs="Calibri"/>
        </w:rPr>
        <w:t>Cosaint</w:t>
      </w:r>
      <w:r w:rsidR="002A7DBB">
        <w:rPr>
          <w:rFonts w:cs="Calibri"/>
        </w:rPr>
        <w:t xml:space="preserve"> project will, over the coming years, provide scientific data on the impact of fencing watercourses.</w:t>
      </w:r>
      <w:r w:rsidR="00FD0AFC">
        <w:rPr>
          <w:rFonts w:cs="Calibri"/>
        </w:rPr>
        <w:t xml:space="preserve"> </w:t>
      </w:r>
      <w:r w:rsidR="002A7DBB">
        <w:rPr>
          <w:rFonts w:cs="Calibri"/>
        </w:rPr>
        <w:t>Under the Green Low emission Agri-Environment Scheme (GLAS)</w:t>
      </w:r>
      <w:r w:rsidR="00562B53">
        <w:rPr>
          <w:rFonts w:cs="Calibri"/>
        </w:rPr>
        <w:t>,</w:t>
      </w:r>
      <w:r w:rsidR="002A7DBB">
        <w:rPr>
          <w:rFonts w:cs="Calibri"/>
        </w:rPr>
        <w:t xml:space="preserve"> </w:t>
      </w:r>
      <w:r w:rsidR="00562B53">
        <w:rPr>
          <w:rFonts w:cs="Calibri"/>
        </w:rPr>
        <w:t xml:space="preserve">20,100 </w:t>
      </w:r>
      <w:r w:rsidR="002A7DBB">
        <w:rPr>
          <w:rFonts w:cs="Calibri"/>
        </w:rPr>
        <w:t xml:space="preserve">farmers have committed to fencing 16,600 km of watercourses. </w:t>
      </w:r>
    </w:p>
    <w:p w:rsidR="006B533B" w:rsidRDefault="006B533B" w:rsidP="002128CD">
      <w:pPr>
        <w:spacing w:after="0" w:line="240" w:lineRule="auto"/>
        <w:jc w:val="both"/>
        <w:rPr>
          <w:rFonts w:cs="Calibri"/>
        </w:rPr>
      </w:pPr>
    </w:p>
    <w:p w:rsidR="00553903" w:rsidRDefault="006B533B" w:rsidP="002128CD">
      <w:pPr>
        <w:spacing w:after="0" w:line="240" w:lineRule="auto"/>
        <w:jc w:val="both"/>
        <w:rPr>
          <w:rFonts w:cs="Calibri"/>
        </w:rPr>
      </w:pPr>
      <w:r>
        <w:rPr>
          <w:rFonts w:cs="Calibri"/>
        </w:rPr>
        <w:t>T</w:t>
      </w:r>
      <w:r w:rsidR="002A7DBB">
        <w:rPr>
          <w:rFonts w:cs="Calibri"/>
        </w:rPr>
        <w:t xml:space="preserve">he Group considers that cattle accessing watercourses on the more intensively stocked </w:t>
      </w:r>
      <w:r w:rsidR="00553903">
        <w:rPr>
          <w:rFonts w:cs="Calibri"/>
        </w:rPr>
        <w:t xml:space="preserve">farms </w:t>
      </w:r>
      <w:r w:rsidR="002A7DBB">
        <w:rPr>
          <w:rFonts w:cs="Calibri"/>
        </w:rPr>
        <w:t xml:space="preserve">can pose a threat to water quality. </w:t>
      </w:r>
      <w:r w:rsidR="00D74BA3">
        <w:rPr>
          <w:rFonts w:cs="Calibri"/>
        </w:rPr>
        <w:t>The Review Group recommends that farms with grassland stocking r</w:t>
      </w:r>
      <w:r>
        <w:rPr>
          <w:rFonts w:cs="Calibri"/>
        </w:rPr>
        <w:t xml:space="preserve">ates of above 170 kg N/ ha </w:t>
      </w:r>
      <w:r w:rsidR="00D74BA3">
        <w:rPr>
          <w:rFonts w:cs="Calibri"/>
        </w:rPr>
        <w:t xml:space="preserve">be required to fence watercourses </w:t>
      </w:r>
      <w:r w:rsidR="005D63F9">
        <w:rPr>
          <w:rFonts w:cs="Calibri"/>
        </w:rPr>
        <w:t xml:space="preserve">1.5 metres from the top of the river bank, </w:t>
      </w:r>
      <w:r w:rsidR="005C042A">
        <w:rPr>
          <w:rFonts w:cs="Calibri"/>
        </w:rPr>
        <w:t>thereby</w:t>
      </w:r>
      <w:r>
        <w:rPr>
          <w:rFonts w:cs="Calibri"/>
        </w:rPr>
        <w:t xml:space="preserve"> preventing bovine access.</w:t>
      </w:r>
      <w:r w:rsidR="00F0012E">
        <w:rPr>
          <w:rFonts w:cs="Calibri"/>
        </w:rPr>
        <w:t xml:space="preserve">  </w:t>
      </w:r>
      <w:r w:rsidR="00553903">
        <w:rPr>
          <w:rFonts w:cs="Calibri"/>
        </w:rPr>
        <w:t xml:space="preserve">It is noted that </w:t>
      </w:r>
      <w:r w:rsidR="004C676E">
        <w:rPr>
          <w:rFonts w:cs="Calibri"/>
        </w:rPr>
        <w:t>t</w:t>
      </w:r>
      <w:r w:rsidR="00553903">
        <w:rPr>
          <w:rFonts w:cs="Calibri"/>
        </w:rPr>
        <w:t>here are 12,350 farms with grassland stocking rates above 170 kg, with a total farmed area of over 674,264 ha.</w:t>
      </w:r>
    </w:p>
    <w:p w:rsidR="00553903" w:rsidRDefault="00553903" w:rsidP="002128CD">
      <w:pPr>
        <w:spacing w:after="0" w:line="240" w:lineRule="auto"/>
        <w:jc w:val="both"/>
        <w:rPr>
          <w:rFonts w:cs="Calibri"/>
        </w:rPr>
      </w:pPr>
    </w:p>
    <w:p w:rsidR="006B533B" w:rsidRDefault="006B533B" w:rsidP="002128CD">
      <w:pPr>
        <w:spacing w:after="0" w:line="240" w:lineRule="auto"/>
        <w:jc w:val="both"/>
        <w:rPr>
          <w:rFonts w:cs="Calibri"/>
        </w:rPr>
      </w:pPr>
      <w:r>
        <w:rPr>
          <w:rFonts w:cs="Calibri"/>
        </w:rPr>
        <w:t>T</w:t>
      </w:r>
      <w:r w:rsidR="00D74BA3">
        <w:rPr>
          <w:rFonts w:cs="Calibri"/>
        </w:rPr>
        <w:t>his new measure would be effe</w:t>
      </w:r>
      <w:r>
        <w:rPr>
          <w:rFonts w:cs="Calibri"/>
        </w:rPr>
        <w:t>ctive from 1 January 2021,</w:t>
      </w:r>
      <w:r w:rsidR="00D74BA3">
        <w:rPr>
          <w:rFonts w:cs="Calibri"/>
        </w:rPr>
        <w:t xml:space="preserve"> allowing farmers the opportunity to plan for such fencing and provide alternative drinking sources as required. It is proposed that it will be permissible to move livestock across a watercourse </w:t>
      </w:r>
      <w:r w:rsidR="00F7013A">
        <w:rPr>
          <w:rFonts w:cs="Calibri"/>
        </w:rPr>
        <w:t xml:space="preserve">only where it is necessary </w:t>
      </w:r>
      <w:r w:rsidR="00D74BA3">
        <w:rPr>
          <w:rFonts w:cs="Calibri"/>
        </w:rPr>
        <w:t xml:space="preserve">to </w:t>
      </w:r>
      <w:r w:rsidR="00F7013A">
        <w:rPr>
          <w:rFonts w:cs="Calibri"/>
        </w:rPr>
        <w:t>access a grazing land parcel which is otherwise</w:t>
      </w:r>
      <w:r w:rsidR="00D74BA3">
        <w:rPr>
          <w:rFonts w:cs="Calibri"/>
        </w:rPr>
        <w:t xml:space="preserve"> isolated </w:t>
      </w:r>
      <w:r w:rsidR="00F7013A">
        <w:rPr>
          <w:rFonts w:cs="Calibri"/>
        </w:rPr>
        <w:t>from the remainder of the farm holding</w:t>
      </w:r>
      <w:r w:rsidR="00D74BA3">
        <w:rPr>
          <w:rFonts w:cs="Calibri"/>
        </w:rPr>
        <w:t xml:space="preserve">, provided that both sides of the watercourse are fenced. </w:t>
      </w:r>
      <w:r w:rsidR="00562B53">
        <w:rPr>
          <w:rFonts w:cs="Calibri"/>
        </w:rPr>
        <w:t>In such situations livestock will not have free access to the watercourse.</w:t>
      </w:r>
    </w:p>
    <w:p w:rsidR="006B533B" w:rsidRDefault="006B533B" w:rsidP="002128CD">
      <w:pPr>
        <w:spacing w:after="0" w:line="240" w:lineRule="auto"/>
        <w:jc w:val="both"/>
        <w:rPr>
          <w:rFonts w:cs="Calibri"/>
        </w:rPr>
      </w:pPr>
    </w:p>
    <w:p w:rsidR="00486170" w:rsidRDefault="00D74BA3" w:rsidP="002128CD">
      <w:pPr>
        <w:spacing w:after="0" w:line="240" w:lineRule="auto"/>
        <w:jc w:val="both"/>
        <w:rPr>
          <w:rFonts w:cs="Calibri"/>
        </w:rPr>
      </w:pPr>
      <w:r>
        <w:rPr>
          <w:rFonts w:cs="Calibri"/>
        </w:rPr>
        <w:t>The Group considers that this proposed measure will, on the more intensively stocked farms where cattle currently have access to watercourses, reduce potenti</w:t>
      </w:r>
      <w:r w:rsidR="006B533B">
        <w:rPr>
          <w:rFonts w:cs="Calibri"/>
        </w:rPr>
        <w:t>al nutrient and sediment inputs.</w:t>
      </w:r>
      <w:r>
        <w:rPr>
          <w:rFonts w:cs="Calibri"/>
        </w:rPr>
        <w:t xml:space="preserve"> </w:t>
      </w:r>
      <w:r w:rsidR="006B533B">
        <w:rPr>
          <w:rFonts w:cs="Calibri"/>
        </w:rPr>
        <w:t>I</w:t>
      </w:r>
      <w:r>
        <w:rPr>
          <w:rFonts w:cs="Calibri"/>
        </w:rPr>
        <w:t xml:space="preserve">t will </w:t>
      </w:r>
      <w:r w:rsidR="005C042A">
        <w:rPr>
          <w:rFonts w:cs="Calibri"/>
        </w:rPr>
        <w:t>also</w:t>
      </w:r>
      <w:r>
        <w:rPr>
          <w:rFonts w:cs="Calibri"/>
        </w:rPr>
        <w:t xml:space="preserve"> allow vegetation to recover on banks, breaking the pathway and reducing mobilisation of sediment and </w:t>
      </w:r>
      <w:r w:rsidR="005C042A">
        <w:rPr>
          <w:rFonts w:cs="Calibri"/>
        </w:rPr>
        <w:t>losses</w:t>
      </w:r>
      <w:r>
        <w:rPr>
          <w:rFonts w:cs="Calibri"/>
        </w:rPr>
        <w:t xml:space="preserve"> of phosphorus. </w:t>
      </w:r>
      <w:r w:rsidR="002A7DBB">
        <w:rPr>
          <w:rFonts w:cs="Calibri"/>
        </w:rPr>
        <w:t xml:space="preserve"> </w:t>
      </w:r>
      <w:r w:rsidR="00FD0AFC">
        <w:rPr>
          <w:rFonts w:cs="Calibri"/>
        </w:rPr>
        <w:t xml:space="preserve">      </w:t>
      </w:r>
    </w:p>
    <w:p w:rsidR="00486170" w:rsidRDefault="00486170" w:rsidP="002128CD">
      <w:pPr>
        <w:spacing w:after="0" w:line="240" w:lineRule="auto"/>
        <w:jc w:val="both"/>
        <w:rPr>
          <w:rFonts w:cs="Calibri"/>
        </w:rPr>
      </w:pPr>
    </w:p>
    <w:p w:rsidR="00FD0AFC" w:rsidRDefault="00486170" w:rsidP="002128CD">
      <w:pPr>
        <w:spacing w:after="0" w:line="240" w:lineRule="auto"/>
        <w:jc w:val="both"/>
        <w:rPr>
          <w:rFonts w:cs="Calibri"/>
        </w:rPr>
      </w:pPr>
      <w:r>
        <w:rPr>
          <w:rFonts w:cs="Calibri"/>
        </w:rPr>
        <w:t xml:space="preserve">The findings from the Cosaint project </w:t>
      </w:r>
      <w:r w:rsidR="00806635">
        <w:rPr>
          <w:rFonts w:cs="Calibri"/>
        </w:rPr>
        <w:t xml:space="preserve">which is due to be completed by </w:t>
      </w:r>
      <w:r w:rsidR="0083713C">
        <w:rPr>
          <w:rFonts w:cs="Calibri"/>
        </w:rPr>
        <w:t>September 2018</w:t>
      </w:r>
      <w:r w:rsidR="00806635">
        <w:rPr>
          <w:rFonts w:cs="Calibri"/>
        </w:rPr>
        <w:t xml:space="preserve"> </w:t>
      </w:r>
      <w:r>
        <w:rPr>
          <w:rFonts w:cs="Calibri"/>
        </w:rPr>
        <w:t>will be considered in the next NAP review process.</w:t>
      </w:r>
      <w:r w:rsidR="00FD0AFC">
        <w:rPr>
          <w:rFonts w:cs="Calibri"/>
        </w:rPr>
        <w:t xml:space="preserve"> </w:t>
      </w:r>
    </w:p>
    <w:p w:rsidR="0083713C" w:rsidRDefault="0083713C" w:rsidP="004C048C">
      <w:pPr>
        <w:spacing w:after="0" w:line="240" w:lineRule="auto"/>
        <w:rPr>
          <w:rFonts w:cs="Calibri"/>
        </w:rPr>
      </w:pPr>
    </w:p>
    <w:p w:rsidR="0083713C" w:rsidRDefault="0083713C" w:rsidP="0083713C">
      <w:pPr>
        <w:spacing w:after="0" w:line="240" w:lineRule="auto"/>
        <w:rPr>
          <w:rFonts w:cs="Calibri"/>
          <w:b/>
        </w:rPr>
      </w:pPr>
      <w:r>
        <w:rPr>
          <w:rFonts w:cs="Calibri"/>
          <w:b/>
        </w:rPr>
        <w:t>3.2.2   Livestock drinking points to be located at least 20m from waters, on farms with grassland stocking rates of above 170 kg N/ ha</w:t>
      </w:r>
    </w:p>
    <w:p w:rsidR="0083713C" w:rsidRDefault="0083713C" w:rsidP="0083713C">
      <w:pPr>
        <w:spacing w:after="0" w:line="240" w:lineRule="auto"/>
        <w:rPr>
          <w:rFonts w:cs="Calibri"/>
        </w:rPr>
      </w:pPr>
    </w:p>
    <w:p w:rsidR="0083713C" w:rsidRDefault="0083713C" w:rsidP="002128CD">
      <w:pPr>
        <w:spacing w:after="0" w:line="240" w:lineRule="auto"/>
        <w:jc w:val="both"/>
        <w:rPr>
          <w:rFonts w:cs="Calibri"/>
        </w:rPr>
      </w:pPr>
      <w:r>
        <w:rPr>
          <w:rFonts w:cs="Calibri"/>
        </w:rPr>
        <w:t>T</w:t>
      </w:r>
      <w:r w:rsidRPr="00AC2895">
        <w:rPr>
          <w:rFonts w:cs="Calibri"/>
        </w:rPr>
        <w:t>here are no current controls as regards the location of livestock drinking points</w:t>
      </w:r>
      <w:r>
        <w:rPr>
          <w:rFonts w:cs="Calibri"/>
        </w:rPr>
        <w:t xml:space="preserve"> relative to waters; it is noted that supplementary feeding points must not be located within 20m of waters. It is considered that this poses a risk to water quality, particularly on the more intensively stocked farms, as a result of potential poaching of the ground surrounding drinking points leading to nutrient and sediment losses. The Group recommends that a measure is introduced on 1 January 2021 requiring that drinking points must not be located within 20m of waters on farms with grassland stocking rates above 170 kg N/ ha. It is considered that the introduction of this measure will break the pathway for potential runoff from areas around drinking points, preventing nutrient and sediment losses. The </w:t>
      </w:r>
      <w:r>
        <w:rPr>
          <w:rFonts w:cs="Calibri"/>
        </w:rPr>
        <w:lastRenderedPageBreak/>
        <w:t>time frame of January 2021 is recommended to allow farmers to relocate all existing drinking points as required.</w:t>
      </w:r>
    </w:p>
    <w:p w:rsidR="00FD0AFC" w:rsidRDefault="00FD0AFC" w:rsidP="004C048C">
      <w:pPr>
        <w:spacing w:after="0" w:line="240" w:lineRule="auto"/>
        <w:rPr>
          <w:rFonts w:cs="Calibri"/>
        </w:rPr>
      </w:pPr>
    </w:p>
    <w:p w:rsidR="00486170" w:rsidRPr="005924C2" w:rsidRDefault="00486170" w:rsidP="00321521">
      <w:pPr>
        <w:pStyle w:val="ListParagraph"/>
        <w:numPr>
          <w:ilvl w:val="2"/>
          <w:numId w:val="38"/>
        </w:numPr>
        <w:spacing w:after="0" w:line="240" w:lineRule="auto"/>
        <w:ind w:left="851" w:hanging="851"/>
        <w:rPr>
          <w:rFonts w:cs="Calibri"/>
          <w:b/>
        </w:rPr>
      </w:pPr>
      <w:r w:rsidRPr="005924C2">
        <w:rPr>
          <w:rFonts w:cs="Calibri"/>
          <w:b/>
        </w:rPr>
        <w:t>Prevention of direct run-off from farm roadways to waters</w:t>
      </w:r>
    </w:p>
    <w:p w:rsidR="00D12D4B" w:rsidRDefault="00D12D4B" w:rsidP="004C048C">
      <w:pPr>
        <w:spacing w:after="0" w:line="240" w:lineRule="auto"/>
        <w:ind w:left="2160"/>
        <w:rPr>
          <w:rFonts w:cs="Calibri"/>
          <w:b/>
        </w:rPr>
      </w:pPr>
    </w:p>
    <w:p w:rsidR="00D12D4B" w:rsidRDefault="00871934" w:rsidP="002128CD">
      <w:pPr>
        <w:spacing w:after="0" w:line="240" w:lineRule="auto"/>
        <w:jc w:val="both"/>
        <w:rPr>
          <w:rFonts w:cs="Calibri"/>
        </w:rPr>
      </w:pPr>
      <w:r>
        <w:rPr>
          <w:rFonts w:cs="Calibri"/>
        </w:rPr>
        <w:t>T</w:t>
      </w:r>
      <w:r w:rsidR="00D12D4B">
        <w:rPr>
          <w:rFonts w:cs="Calibri"/>
        </w:rPr>
        <w:t xml:space="preserve">he current regulations contain effective farmyard management measures for the protection of </w:t>
      </w:r>
      <w:r w:rsidR="005C042A">
        <w:rPr>
          <w:rFonts w:cs="Calibri"/>
        </w:rPr>
        <w:t>waters;</w:t>
      </w:r>
      <w:r w:rsidR="00D12D4B">
        <w:rPr>
          <w:rFonts w:cs="Calibri"/>
        </w:rPr>
        <w:t xml:space="preserve"> these include the minimisation of soiled water and the collection and storage of manures, effluents and soiled water. It is noted that there is </w:t>
      </w:r>
      <w:r w:rsidR="008841D9">
        <w:rPr>
          <w:rFonts w:cs="Calibri"/>
        </w:rPr>
        <w:t xml:space="preserve">currently </w:t>
      </w:r>
      <w:r w:rsidR="00D12D4B">
        <w:rPr>
          <w:rFonts w:cs="Calibri"/>
        </w:rPr>
        <w:t>no provision for the prevention of direct runoff from farm roadways</w:t>
      </w:r>
      <w:r w:rsidR="00B75FFC">
        <w:rPr>
          <w:rFonts w:cs="Calibri"/>
        </w:rPr>
        <w:t xml:space="preserve">. </w:t>
      </w:r>
      <w:r w:rsidR="00D12D4B">
        <w:rPr>
          <w:rFonts w:cs="Calibri"/>
        </w:rPr>
        <w:t xml:space="preserve"> </w:t>
      </w:r>
      <w:r w:rsidR="00B75FFC">
        <w:rPr>
          <w:rFonts w:cs="Calibri"/>
        </w:rPr>
        <w:t>T</w:t>
      </w:r>
      <w:r w:rsidR="00D12D4B">
        <w:rPr>
          <w:rFonts w:cs="Calibri"/>
        </w:rPr>
        <w:t>here are 15,500 specialist dairy farms</w:t>
      </w:r>
      <w:r w:rsidR="00CC5EBA">
        <w:rPr>
          <w:rFonts w:cs="Calibri"/>
        </w:rPr>
        <w:t>,</w:t>
      </w:r>
      <w:r w:rsidR="00B75FFC">
        <w:rPr>
          <w:rFonts w:cs="Calibri"/>
        </w:rPr>
        <w:t xml:space="preserve"> with a total farmed area of 870,000 ha, </w:t>
      </w:r>
      <w:r w:rsidR="00D12D4B">
        <w:rPr>
          <w:rFonts w:cs="Calibri"/>
        </w:rPr>
        <w:t xml:space="preserve">with farm roads facilitating daily movement of animals from the farmyard to the grazing platform. Available data </w:t>
      </w:r>
      <w:r w:rsidR="005C042A">
        <w:rPr>
          <w:rFonts w:cs="Calibri"/>
        </w:rPr>
        <w:t>indicates</w:t>
      </w:r>
      <w:r w:rsidR="00D12D4B">
        <w:rPr>
          <w:rFonts w:cs="Calibri"/>
        </w:rPr>
        <w:t xml:space="preserve"> that the typical length of farm roadways is 1.4 km per farm.  </w:t>
      </w:r>
    </w:p>
    <w:p w:rsidR="00D12D4B" w:rsidRDefault="00D12D4B" w:rsidP="002128CD">
      <w:pPr>
        <w:spacing w:after="0" w:line="240" w:lineRule="auto"/>
        <w:jc w:val="both"/>
        <w:rPr>
          <w:rFonts w:cs="Calibri"/>
        </w:rPr>
      </w:pPr>
    </w:p>
    <w:p w:rsidR="00D12D4B" w:rsidRDefault="00871934" w:rsidP="002128CD">
      <w:pPr>
        <w:spacing w:after="0" w:line="240" w:lineRule="auto"/>
        <w:jc w:val="both"/>
        <w:rPr>
          <w:rFonts w:cs="Calibri"/>
        </w:rPr>
      </w:pPr>
      <w:r>
        <w:rPr>
          <w:rFonts w:cs="Calibri"/>
        </w:rPr>
        <w:t>T</w:t>
      </w:r>
      <w:r w:rsidR="00D12D4B">
        <w:rPr>
          <w:rFonts w:cs="Calibri"/>
        </w:rPr>
        <w:t xml:space="preserve">he Group recommends that a measure is introduced requiring the </w:t>
      </w:r>
      <w:r w:rsidR="00BA5640">
        <w:rPr>
          <w:rFonts w:cs="Calibri"/>
        </w:rPr>
        <w:t xml:space="preserve">prevention of </w:t>
      </w:r>
      <w:r w:rsidR="00D12D4B">
        <w:rPr>
          <w:rFonts w:cs="Calibri"/>
        </w:rPr>
        <w:t>direct runo</w:t>
      </w:r>
      <w:r w:rsidR="00BA5640">
        <w:rPr>
          <w:rFonts w:cs="Calibri"/>
        </w:rPr>
        <w:t xml:space="preserve">ff from farm roadways </w:t>
      </w:r>
      <w:r w:rsidR="005D63F9">
        <w:rPr>
          <w:rFonts w:cs="Calibri"/>
        </w:rPr>
        <w:t xml:space="preserve">on all farms </w:t>
      </w:r>
      <w:r w:rsidR="00BA5640">
        <w:rPr>
          <w:rFonts w:cs="Calibri"/>
        </w:rPr>
        <w:t>to waters.</w:t>
      </w:r>
      <w:r w:rsidR="00D12D4B">
        <w:rPr>
          <w:rFonts w:cs="Calibri"/>
        </w:rPr>
        <w:t xml:space="preserve"> This requirement would be introduced from 1 January 2021 allowing farmers the opportunity to modify roadways as dee</w:t>
      </w:r>
      <w:r w:rsidR="00BA5640">
        <w:rPr>
          <w:rFonts w:cs="Calibri"/>
        </w:rPr>
        <w:t xml:space="preserve">med necessary to prevent </w:t>
      </w:r>
      <w:r w:rsidR="00D12D4B">
        <w:rPr>
          <w:rFonts w:cs="Calibri"/>
        </w:rPr>
        <w:t>runoff. There will be a range of potential options to prevent such direct runoff including cambering of the roadway directing water to one side, measures to reduce the speed of water flow and ea</w:t>
      </w:r>
      <w:r w:rsidR="006D4A1C">
        <w:rPr>
          <w:rFonts w:cs="Calibri"/>
        </w:rPr>
        <w:t>rth bunding along the road.</w:t>
      </w:r>
      <w:r w:rsidR="00D12D4B">
        <w:rPr>
          <w:rFonts w:cs="Calibri"/>
        </w:rPr>
        <w:t xml:space="preserve"> DAFM will provid</w:t>
      </w:r>
      <w:r w:rsidR="008841D9">
        <w:rPr>
          <w:rFonts w:cs="Calibri"/>
        </w:rPr>
        <w:t>e</w:t>
      </w:r>
      <w:r w:rsidR="00D12D4B">
        <w:rPr>
          <w:rFonts w:cs="Calibri"/>
        </w:rPr>
        <w:t xml:space="preserve"> relevant guidance information for farmers through specifications and knowledge transfer.</w:t>
      </w:r>
      <w:r w:rsidR="0078170C">
        <w:rPr>
          <w:rFonts w:cs="Calibri"/>
        </w:rPr>
        <w:t xml:space="preserve"> Training will </w:t>
      </w:r>
      <w:r w:rsidR="00BA71C3">
        <w:rPr>
          <w:rFonts w:cs="Calibri"/>
        </w:rPr>
        <w:t>also</w:t>
      </w:r>
      <w:r w:rsidR="0078170C">
        <w:rPr>
          <w:rFonts w:cs="Calibri"/>
        </w:rPr>
        <w:t xml:space="preserve"> be provided for advisors</w:t>
      </w:r>
      <w:r w:rsidR="008841D9">
        <w:rPr>
          <w:rFonts w:cs="Calibri"/>
        </w:rPr>
        <w:t>.</w:t>
      </w:r>
    </w:p>
    <w:p w:rsidR="00D12D4B" w:rsidRDefault="00D12D4B" w:rsidP="002128CD">
      <w:pPr>
        <w:spacing w:after="0" w:line="240" w:lineRule="auto"/>
        <w:jc w:val="both"/>
        <w:rPr>
          <w:rFonts w:cs="Calibri"/>
        </w:rPr>
      </w:pPr>
    </w:p>
    <w:p w:rsidR="00D12D4B" w:rsidRDefault="00D12D4B" w:rsidP="002128CD">
      <w:pPr>
        <w:spacing w:after="0" w:line="240" w:lineRule="auto"/>
        <w:jc w:val="both"/>
        <w:rPr>
          <w:rFonts w:cs="Calibri"/>
        </w:rPr>
      </w:pPr>
      <w:r>
        <w:rPr>
          <w:rFonts w:cs="Calibri"/>
        </w:rPr>
        <w:t xml:space="preserve">The Group considers that this measure will be effective in the prevention of sediment and nutrient runoff from farm roadways thereby protecting and improving water quality. </w:t>
      </w:r>
    </w:p>
    <w:p w:rsidR="004233E8" w:rsidRDefault="004233E8" w:rsidP="004C048C">
      <w:pPr>
        <w:spacing w:after="0" w:line="240" w:lineRule="auto"/>
        <w:rPr>
          <w:rFonts w:cs="Calibri"/>
        </w:rPr>
      </w:pPr>
    </w:p>
    <w:p w:rsidR="004233E8" w:rsidRDefault="004233E8" w:rsidP="004C048C">
      <w:pPr>
        <w:numPr>
          <w:ilvl w:val="2"/>
          <w:numId w:val="36"/>
        </w:numPr>
        <w:spacing w:after="0" w:line="240" w:lineRule="auto"/>
        <w:rPr>
          <w:rFonts w:cs="Calibri"/>
          <w:b/>
        </w:rPr>
      </w:pPr>
      <w:r w:rsidRPr="00C83EAB">
        <w:rPr>
          <w:rFonts w:cs="Calibri"/>
          <w:b/>
        </w:rPr>
        <w:t>Prevention of runoff resulting from poaching</w:t>
      </w:r>
    </w:p>
    <w:p w:rsidR="004C048C" w:rsidRPr="00C83EAB" w:rsidRDefault="004C048C" w:rsidP="004C048C">
      <w:pPr>
        <w:spacing w:after="0" w:line="240" w:lineRule="auto"/>
        <w:ind w:left="720"/>
        <w:rPr>
          <w:rFonts w:cs="Calibri"/>
          <w:b/>
        </w:rPr>
      </w:pPr>
    </w:p>
    <w:p w:rsidR="004B413A" w:rsidRDefault="00C83EAB" w:rsidP="002128CD">
      <w:pPr>
        <w:spacing w:after="0" w:line="240" w:lineRule="auto"/>
        <w:jc w:val="both"/>
        <w:rPr>
          <w:rFonts w:cs="Calibri"/>
        </w:rPr>
      </w:pPr>
      <w:r>
        <w:rPr>
          <w:rFonts w:cs="Calibri"/>
        </w:rPr>
        <w:t>It w</w:t>
      </w:r>
      <w:r w:rsidR="009441DA">
        <w:rPr>
          <w:rFonts w:cs="Calibri"/>
        </w:rPr>
        <w:t>as noted that while poaching is</w:t>
      </w:r>
      <w:r>
        <w:rPr>
          <w:rFonts w:cs="Calibri"/>
        </w:rPr>
        <w:t xml:space="preserve"> addressed under the Good Agricultural and Environmental Conditions (GAEC) requirements, it does not feature in the GAP regulations. The Review Group </w:t>
      </w:r>
      <w:r w:rsidR="009441DA">
        <w:rPr>
          <w:rFonts w:cs="Calibri"/>
        </w:rPr>
        <w:t>considers</w:t>
      </w:r>
      <w:r>
        <w:rPr>
          <w:rFonts w:cs="Calibri"/>
        </w:rPr>
        <w:t xml:space="preserve"> that moderate </w:t>
      </w:r>
      <w:r w:rsidR="008841D9">
        <w:rPr>
          <w:rFonts w:cs="Calibri"/>
        </w:rPr>
        <w:t xml:space="preserve">to </w:t>
      </w:r>
      <w:r>
        <w:rPr>
          <w:rFonts w:cs="Calibri"/>
        </w:rPr>
        <w:t xml:space="preserve">severe poaching can lead to sediment and nutrient losses and there is a requirement to bring the GAP regulations in line </w:t>
      </w:r>
      <w:r w:rsidR="00AF1AC2">
        <w:rPr>
          <w:rFonts w:cs="Calibri"/>
        </w:rPr>
        <w:t xml:space="preserve">with the GAEC requirements in this respect. The Group recommends that a provision is introduced in the GAP regulations requiring the prevention of runoff resulting from poaching. Under this proposed measure farmers will be required to manage livestock </w:t>
      </w:r>
      <w:r w:rsidR="00F759B7">
        <w:rPr>
          <w:rFonts w:cs="Calibri"/>
        </w:rPr>
        <w:t xml:space="preserve">grazing </w:t>
      </w:r>
      <w:r w:rsidR="00AF1AC2">
        <w:rPr>
          <w:rFonts w:cs="Calibri"/>
        </w:rPr>
        <w:t xml:space="preserve">to ensure that the risk of soil erosion/ runoff to surface waters is minimised by means of appropriate management. </w:t>
      </w:r>
    </w:p>
    <w:p w:rsidR="004B413A" w:rsidRDefault="004B413A" w:rsidP="004C048C">
      <w:pPr>
        <w:spacing w:after="0" w:line="240" w:lineRule="auto"/>
        <w:rPr>
          <w:rFonts w:cs="Calibri"/>
        </w:rPr>
      </w:pPr>
    </w:p>
    <w:p w:rsidR="004B413A" w:rsidRDefault="004B413A" w:rsidP="004B413A">
      <w:pPr>
        <w:numPr>
          <w:ilvl w:val="2"/>
          <w:numId w:val="36"/>
        </w:numPr>
        <w:spacing w:after="0" w:line="240" w:lineRule="auto"/>
        <w:rPr>
          <w:rFonts w:cs="Calibri"/>
          <w:b/>
        </w:rPr>
      </w:pPr>
      <w:r>
        <w:rPr>
          <w:rFonts w:cs="Calibri"/>
          <w:b/>
        </w:rPr>
        <w:t>Reduction in area for individual soil sample</w:t>
      </w:r>
    </w:p>
    <w:p w:rsidR="004B413A" w:rsidRDefault="004B413A" w:rsidP="004B413A">
      <w:pPr>
        <w:spacing w:after="0" w:line="240" w:lineRule="auto"/>
        <w:ind w:left="720"/>
        <w:rPr>
          <w:rFonts w:cs="Calibri"/>
          <w:b/>
        </w:rPr>
      </w:pPr>
    </w:p>
    <w:p w:rsidR="004B413A" w:rsidRPr="004B413A" w:rsidRDefault="004B413A" w:rsidP="002128CD">
      <w:pPr>
        <w:spacing w:after="0" w:line="240" w:lineRule="auto"/>
        <w:jc w:val="both"/>
        <w:rPr>
          <w:rFonts w:cs="Calibri"/>
          <w:lang w:val="en-GB"/>
        </w:rPr>
      </w:pPr>
      <w:r w:rsidRPr="004B413A">
        <w:rPr>
          <w:rFonts w:cs="Calibri"/>
          <w:lang w:val="en-GB"/>
        </w:rPr>
        <w:t>In order to give a more accurate pict</w:t>
      </w:r>
      <w:r>
        <w:rPr>
          <w:rFonts w:cs="Calibri"/>
          <w:lang w:val="en-GB"/>
        </w:rPr>
        <w:t>ure of nutrient status of soils for the purpose of soil analysis the group recommends that the sampling area should be reduced to 5 ha from 8 ha currently. It is also recommended that soil analysis results will be valid for 4 years (a reduction from 6 years currently).</w:t>
      </w:r>
    </w:p>
    <w:p w:rsidR="00895698" w:rsidRDefault="00895698">
      <w:pPr>
        <w:spacing w:after="0" w:line="240" w:lineRule="auto"/>
        <w:rPr>
          <w:rFonts w:cs="Calibri"/>
        </w:rPr>
      </w:pPr>
    </w:p>
    <w:p w:rsidR="006D4A1C" w:rsidRPr="004C048C" w:rsidRDefault="009F762B" w:rsidP="004C048C">
      <w:pPr>
        <w:numPr>
          <w:ilvl w:val="1"/>
          <w:numId w:val="36"/>
        </w:numPr>
        <w:spacing w:after="0" w:line="240" w:lineRule="auto"/>
        <w:rPr>
          <w:rFonts w:cs="Calibri"/>
          <w:b/>
        </w:rPr>
      </w:pPr>
      <w:r w:rsidRPr="006D4A1C">
        <w:rPr>
          <w:rFonts w:cs="Calibri"/>
          <w:b/>
          <w:u w:val="single"/>
        </w:rPr>
        <w:t xml:space="preserve">Achieving optimum soil fertility and improving nutrient use efficiency </w:t>
      </w:r>
    </w:p>
    <w:p w:rsidR="004C048C" w:rsidRPr="006D4A1C" w:rsidRDefault="004C048C" w:rsidP="004C048C">
      <w:pPr>
        <w:spacing w:after="0" w:line="240" w:lineRule="auto"/>
        <w:ind w:left="435"/>
        <w:rPr>
          <w:rFonts w:cs="Calibri"/>
          <w:b/>
        </w:rPr>
      </w:pPr>
    </w:p>
    <w:p w:rsidR="009F762B" w:rsidRPr="006D4A1C" w:rsidRDefault="009441DA" w:rsidP="004C048C">
      <w:pPr>
        <w:spacing w:after="0" w:line="240" w:lineRule="auto"/>
        <w:rPr>
          <w:rFonts w:cs="Calibri"/>
          <w:b/>
        </w:rPr>
      </w:pPr>
      <w:r w:rsidRPr="006D4A1C">
        <w:rPr>
          <w:rFonts w:cs="Calibri"/>
          <w:b/>
        </w:rPr>
        <w:t xml:space="preserve">3.3.1 </w:t>
      </w:r>
      <w:r w:rsidR="009F762B" w:rsidRPr="006D4A1C">
        <w:rPr>
          <w:rFonts w:cs="Calibri"/>
          <w:b/>
        </w:rPr>
        <w:t>Adopt</w:t>
      </w:r>
      <w:r w:rsidR="00E47AE7" w:rsidRPr="006D4A1C">
        <w:rPr>
          <w:rFonts w:cs="Calibri"/>
          <w:b/>
        </w:rPr>
        <w:t>ion of appropriate phosphorus b</w:t>
      </w:r>
      <w:r w:rsidR="009F762B" w:rsidRPr="006D4A1C">
        <w:rPr>
          <w:rFonts w:cs="Calibri"/>
          <w:b/>
        </w:rPr>
        <w:t>u</w:t>
      </w:r>
      <w:r w:rsidR="00E47AE7" w:rsidRPr="006D4A1C">
        <w:rPr>
          <w:rFonts w:cs="Calibri"/>
          <w:b/>
        </w:rPr>
        <w:t>i</w:t>
      </w:r>
      <w:r w:rsidR="009F762B" w:rsidRPr="006D4A1C">
        <w:rPr>
          <w:rFonts w:cs="Calibri"/>
          <w:b/>
        </w:rPr>
        <w:t>ld-up rates</w:t>
      </w:r>
      <w:r w:rsidR="00E47AE7" w:rsidRPr="006D4A1C">
        <w:rPr>
          <w:rFonts w:cs="Calibri"/>
          <w:b/>
        </w:rPr>
        <w:t xml:space="preserve"> on farms with grassland stocking rates of above 130 kg N/ha</w:t>
      </w:r>
    </w:p>
    <w:p w:rsidR="005A0A58" w:rsidRDefault="005A0A58" w:rsidP="004C048C">
      <w:pPr>
        <w:spacing w:after="0" w:line="240" w:lineRule="auto"/>
        <w:rPr>
          <w:rFonts w:cs="Calibri"/>
        </w:rPr>
      </w:pPr>
    </w:p>
    <w:p w:rsidR="005906BA" w:rsidRPr="009441DA" w:rsidRDefault="00C20D0F" w:rsidP="002128CD">
      <w:pPr>
        <w:spacing w:after="0" w:line="240" w:lineRule="auto"/>
        <w:jc w:val="both"/>
        <w:rPr>
          <w:rFonts w:cs="Calibri"/>
          <w:b/>
          <w:u w:val="single"/>
        </w:rPr>
      </w:pPr>
      <w:r>
        <w:rPr>
          <w:rFonts w:cs="Calibri"/>
        </w:rPr>
        <w:t xml:space="preserve">The previous NAPs have been successful in </w:t>
      </w:r>
      <w:r w:rsidR="005C042A">
        <w:rPr>
          <w:rFonts w:cs="Calibri"/>
        </w:rPr>
        <w:t>reducing the</w:t>
      </w:r>
      <w:r>
        <w:rPr>
          <w:rFonts w:cs="Calibri"/>
        </w:rPr>
        <w:t xml:space="preserve"> proportion of soils with high P levels (index 4) from 30% in 2007 to 15% in 2016; these soils </w:t>
      </w:r>
      <w:r w:rsidR="005C042A">
        <w:rPr>
          <w:rFonts w:cs="Calibri"/>
        </w:rPr>
        <w:t>have a</w:t>
      </w:r>
      <w:r>
        <w:rPr>
          <w:rFonts w:cs="Calibri"/>
        </w:rPr>
        <w:t xml:space="preserve"> higher risk for P losses to waters.</w:t>
      </w:r>
      <w:r w:rsidR="009441DA">
        <w:rPr>
          <w:rFonts w:cs="Calibri"/>
        </w:rPr>
        <w:t xml:space="preserve"> However, data from </w:t>
      </w:r>
      <w:r w:rsidR="00122887">
        <w:rPr>
          <w:rFonts w:cs="Calibri"/>
        </w:rPr>
        <w:t>Teagas</w:t>
      </w:r>
      <w:r w:rsidR="00B61EB3">
        <w:rPr>
          <w:rFonts w:cs="Calibri"/>
        </w:rPr>
        <w:t xml:space="preserve">c’s soil analysis services indicates </w:t>
      </w:r>
      <w:r w:rsidR="00122887">
        <w:rPr>
          <w:rFonts w:cs="Calibri"/>
        </w:rPr>
        <w:t>that the proportion of soils at soil P index 1 and 2</w:t>
      </w:r>
      <w:r w:rsidR="00CF3F9F">
        <w:rPr>
          <w:rFonts w:cs="Calibri"/>
        </w:rPr>
        <w:t xml:space="preserve">, which are </w:t>
      </w:r>
      <w:r w:rsidR="009441DA">
        <w:rPr>
          <w:rFonts w:cs="Calibri"/>
        </w:rPr>
        <w:t>suboptimal levels,</w:t>
      </w:r>
      <w:r w:rsidR="00122887">
        <w:rPr>
          <w:rFonts w:cs="Calibri"/>
        </w:rPr>
        <w:t xml:space="preserve"> has increased </w:t>
      </w:r>
      <w:r w:rsidR="005C042A">
        <w:rPr>
          <w:rFonts w:cs="Calibri"/>
        </w:rPr>
        <w:t>from 40</w:t>
      </w:r>
      <w:r w:rsidR="00122887">
        <w:rPr>
          <w:rFonts w:cs="Calibri"/>
        </w:rPr>
        <w:t>% in 2007 to 62% in 2016</w:t>
      </w:r>
      <w:r w:rsidR="00CF3F9F">
        <w:rPr>
          <w:rFonts w:cs="Calibri"/>
        </w:rPr>
        <w:t xml:space="preserve">. </w:t>
      </w:r>
      <w:bookmarkStart w:id="0" w:name="_GoBack"/>
      <w:bookmarkEnd w:id="0"/>
      <w:r w:rsidR="005906BA">
        <w:rPr>
          <w:rFonts w:cs="Calibri"/>
        </w:rPr>
        <w:t>The continuing decline in soil P combined with suboptimal soil potassium (K) and pH levels has resulted in only 10% of soils having optimum fertility status.</w:t>
      </w:r>
    </w:p>
    <w:p w:rsidR="00F95179" w:rsidRDefault="00F95179" w:rsidP="002128CD">
      <w:pPr>
        <w:spacing w:after="0" w:line="240" w:lineRule="auto"/>
        <w:jc w:val="both"/>
        <w:rPr>
          <w:rFonts w:cs="Calibri"/>
        </w:rPr>
      </w:pPr>
    </w:p>
    <w:p w:rsidR="00F95179" w:rsidRDefault="00B61EB3" w:rsidP="002128CD">
      <w:pPr>
        <w:spacing w:after="0" w:line="240" w:lineRule="auto"/>
        <w:jc w:val="both"/>
        <w:rPr>
          <w:rFonts w:cs="Calibri"/>
        </w:rPr>
      </w:pPr>
      <w:r>
        <w:rPr>
          <w:rFonts w:cs="Calibri"/>
        </w:rPr>
        <w:t>The current P application rates for build-up of 10 (P index 2) and 20 (P index 1) kg/ha/year were adopted from early nutrient management advice, at a time when production levels we</w:t>
      </w:r>
      <w:r w:rsidR="006D4A1C">
        <w:rPr>
          <w:rFonts w:cs="Calibri"/>
        </w:rPr>
        <w:t xml:space="preserve">re lower and for grass </w:t>
      </w:r>
      <w:r>
        <w:rPr>
          <w:rFonts w:cs="Calibri"/>
        </w:rPr>
        <w:t xml:space="preserve">varieties with </w:t>
      </w:r>
      <w:r w:rsidR="005C042A">
        <w:rPr>
          <w:rFonts w:cs="Calibri"/>
        </w:rPr>
        <w:t>lower</w:t>
      </w:r>
      <w:r>
        <w:rPr>
          <w:rFonts w:cs="Calibri"/>
        </w:rPr>
        <w:t xml:space="preserve"> production potential than </w:t>
      </w:r>
      <w:r w:rsidR="00CF3F9F">
        <w:rPr>
          <w:rFonts w:cs="Calibri"/>
        </w:rPr>
        <w:t>modern varieties. T</w:t>
      </w:r>
      <w:r>
        <w:rPr>
          <w:rFonts w:cs="Calibri"/>
        </w:rPr>
        <w:t xml:space="preserve">hese levels of build-up are much too low to achieve </w:t>
      </w:r>
      <w:r w:rsidR="005C042A">
        <w:rPr>
          <w:rFonts w:cs="Calibri"/>
        </w:rPr>
        <w:t>significant</w:t>
      </w:r>
      <w:r>
        <w:rPr>
          <w:rFonts w:cs="Calibri"/>
        </w:rPr>
        <w:t xml:space="preserve"> increases in soil P levels within a reasonable time; currently it would take 21 years to move the soil from P Index 1 to 3 </w:t>
      </w:r>
      <w:r w:rsidR="00D40B11">
        <w:rPr>
          <w:rFonts w:cs="Calibri"/>
        </w:rPr>
        <w:t>and 12.5 years for moving index 2 to 3.</w:t>
      </w:r>
      <w:r>
        <w:rPr>
          <w:rFonts w:cs="Calibri"/>
        </w:rPr>
        <w:t xml:space="preserve"> </w:t>
      </w:r>
    </w:p>
    <w:p w:rsidR="00F95179" w:rsidRDefault="00F95179" w:rsidP="002128CD">
      <w:pPr>
        <w:spacing w:after="0" w:line="240" w:lineRule="auto"/>
        <w:jc w:val="both"/>
        <w:rPr>
          <w:rFonts w:cs="Calibri"/>
        </w:rPr>
      </w:pPr>
    </w:p>
    <w:p w:rsidR="006C4CBE" w:rsidRDefault="00D40B11" w:rsidP="002128CD">
      <w:pPr>
        <w:spacing w:after="0" w:line="240" w:lineRule="auto"/>
        <w:jc w:val="both"/>
        <w:rPr>
          <w:rFonts w:cs="Calibri"/>
        </w:rPr>
      </w:pPr>
      <w:r>
        <w:rPr>
          <w:rFonts w:cs="Calibri"/>
        </w:rPr>
        <w:t>The consequences</w:t>
      </w:r>
      <w:r w:rsidR="00BA6340">
        <w:rPr>
          <w:rFonts w:cs="Calibri"/>
        </w:rPr>
        <w:t xml:space="preserve"> of suboptima</w:t>
      </w:r>
      <w:r>
        <w:rPr>
          <w:rFonts w:cs="Calibri"/>
        </w:rPr>
        <w:t xml:space="preserve">l P levels </w:t>
      </w:r>
      <w:r w:rsidR="00553903">
        <w:rPr>
          <w:rFonts w:cs="Calibri"/>
        </w:rPr>
        <w:t>include</w:t>
      </w:r>
      <w:r>
        <w:rPr>
          <w:rFonts w:cs="Calibri"/>
        </w:rPr>
        <w:t xml:space="preserve"> reduced nitrogen use efficiency</w:t>
      </w:r>
      <w:r w:rsidR="005C042A">
        <w:rPr>
          <w:rFonts w:cs="Calibri"/>
        </w:rPr>
        <w:t>, increased</w:t>
      </w:r>
      <w:r w:rsidR="005906BA">
        <w:rPr>
          <w:rFonts w:cs="Calibri"/>
        </w:rPr>
        <w:t xml:space="preserve"> nitrogen emissions to water and</w:t>
      </w:r>
      <w:r w:rsidR="00553903">
        <w:rPr>
          <w:rFonts w:cs="Calibri"/>
        </w:rPr>
        <w:t xml:space="preserve"> air and reduced grass </w:t>
      </w:r>
      <w:r w:rsidR="005906BA">
        <w:rPr>
          <w:rFonts w:cs="Calibri"/>
        </w:rPr>
        <w:t>production</w:t>
      </w:r>
      <w:r w:rsidR="00553903">
        <w:rPr>
          <w:rFonts w:cs="Calibri"/>
        </w:rPr>
        <w:t xml:space="preserve"> impacting on sustainability objectives</w:t>
      </w:r>
      <w:r w:rsidR="005906BA">
        <w:rPr>
          <w:rFonts w:cs="Calibri"/>
        </w:rPr>
        <w:t xml:space="preserve">. </w:t>
      </w:r>
      <w:r>
        <w:rPr>
          <w:rFonts w:cs="Calibri"/>
        </w:rPr>
        <w:t xml:space="preserve"> </w:t>
      </w:r>
    </w:p>
    <w:p w:rsidR="00427B5C" w:rsidRDefault="005E2807" w:rsidP="002128CD">
      <w:pPr>
        <w:spacing w:after="0" w:line="240" w:lineRule="auto"/>
        <w:jc w:val="both"/>
        <w:rPr>
          <w:rFonts w:cs="Calibri"/>
        </w:rPr>
      </w:pPr>
      <w:r>
        <w:rPr>
          <w:rFonts w:cs="Calibri"/>
        </w:rPr>
        <w:t xml:space="preserve">The </w:t>
      </w:r>
      <w:r w:rsidR="00EE29E9">
        <w:rPr>
          <w:rFonts w:cs="Calibri"/>
        </w:rPr>
        <w:t xml:space="preserve">Review </w:t>
      </w:r>
      <w:r>
        <w:rPr>
          <w:rFonts w:cs="Calibri"/>
        </w:rPr>
        <w:t xml:space="preserve">Group is satisfied that </w:t>
      </w:r>
      <w:r w:rsidR="00C20D0F">
        <w:rPr>
          <w:rFonts w:cs="Calibri"/>
        </w:rPr>
        <w:t>based on the latest scientific studies,  encompassing a range of soil types,  the P allowances for build</w:t>
      </w:r>
      <w:r w:rsidR="006C0371">
        <w:rPr>
          <w:rFonts w:cs="Calibri"/>
        </w:rPr>
        <w:t xml:space="preserve"> </w:t>
      </w:r>
      <w:r w:rsidR="00C20D0F">
        <w:rPr>
          <w:rFonts w:cs="Calibri"/>
        </w:rPr>
        <w:t>up should</w:t>
      </w:r>
      <w:r w:rsidR="00427B5C">
        <w:rPr>
          <w:rFonts w:cs="Calibri"/>
        </w:rPr>
        <w:t xml:space="preserve"> be i</w:t>
      </w:r>
      <w:r w:rsidR="00C20D0F">
        <w:rPr>
          <w:rFonts w:cs="Calibri"/>
        </w:rPr>
        <w:t>ncre</w:t>
      </w:r>
      <w:r w:rsidR="005906BA">
        <w:rPr>
          <w:rFonts w:cs="Calibri"/>
        </w:rPr>
        <w:t>a</w:t>
      </w:r>
      <w:r w:rsidR="00C20D0F">
        <w:rPr>
          <w:rFonts w:cs="Calibri"/>
        </w:rPr>
        <w:t xml:space="preserve">sed </w:t>
      </w:r>
      <w:r w:rsidR="00DD076D">
        <w:rPr>
          <w:rFonts w:cs="Calibri"/>
        </w:rPr>
        <w:t>from the current levels on farms with grasslan</w:t>
      </w:r>
      <w:r w:rsidR="00895698">
        <w:rPr>
          <w:rFonts w:cs="Calibri"/>
        </w:rPr>
        <w:t>d stocking rates above 130 kg N/</w:t>
      </w:r>
      <w:r w:rsidR="00DD076D">
        <w:rPr>
          <w:rFonts w:cs="Calibri"/>
        </w:rPr>
        <w:t>ha</w:t>
      </w:r>
      <w:r w:rsidR="00427B5C">
        <w:rPr>
          <w:rFonts w:cs="Calibri"/>
        </w:rPr>
        <w:t>.</w:t>
      </w:r>
      <w:r w:rsidR="00CA1EB3">
        <w:rPr>
          <w:rFonts w:cs="Calibri"/>
        </w:rPr>
        <w:t xml:space="preserve">  </w:t>
      </w:r>
      <w:r w:rsidR="00F52CB4">
        <w:rPr>
          <w:rFonts w:cs="Calibri"/>
        </w:rPr>
        <w:t>T</w:t>
      </w:r>
      <w:r w:rsidR="004442DF" w:rsidRPr="004442DF">
        <w:rPr>
          <w:rFonts w:cs="Calibri"/>
        </w:rPr>
        <w:t xml:space="preserve">he Group </w:t>
      </w:r>
      <w:r w:rsidR="00EE29E9">
        <w:rPr>
          <w:rFonts w:cs="Calibri"/>
        </w:rPr>
        <w:t xml:space="preserve">recommends </w:t>
      </w:r>
      <w:r w:rsidR="004442DF" w:rsidRPr="004442DF">
        <w:rPr>
          <w:rFonts w:cs="Calibri"/>
        </w:rPr>
        <w:t xml:space="preserve">that the </w:t>
      </w:r>
      <w:r w:rsidR="00F52CB4" w:rsidRPr="00F52CB4">
        <w:rPr>
          <w:rFonts w:cs="Calibri"/>
        </w:rPr>
        <w:t xml:space="preserve">P </w:t>
      </w:r>
      <w:r w:rsidR="00C20D0F">
        <w:rPr>
          <w:rFonts w:cs="Calibri"/>
        </w:rPr>
        <w:t xml:space="preserve">build up </w:t>
      </w:r>
      <w:r w:rsidR="00EE29E9">
        <w:rPr>
          <w:rFonts w:cs="Calibri"/>
        </w:rPr>
        <w:t xml:space="preserve">allowances for grassland </w:t>
      </w:r>
      <w:r w:rsidR="00F52CB4" w:rsidRPr="00F52CB4">
        <w:rPr>
          <w:rFonts w:cs="Calibri"/>
        </w:rPr>
        <w:t>be revised</w:t>
      </w:r>
      <w:r w:rsidR="00EE29E9">
        <w:rPr>
          <w:rFonts w:cs="Calibri"/>
        </w:rPr>
        <w:t>;</w:t>
      </w:r>
      <w:r w:rsidR="00427B5C">
        <w:rPr>
          <w:rFonts w:cs="Calibri"/>
        </w:rPr>
        <w:t xml:space="preserve"> that  soils  at P index 1 be allowed a maximum buil</w:t>
      </w:r>
      <w:r w:rsidR="00895698">
        <w:rPr>
          <w:rFonts w:cs="Calibri"/>
        </w:rPr>
        <w:t xml:space="preserve">d up allowance of 50kg/ ha, and index 2 a </w:t>
      </w:r>
      <w:r w:rsidR="00427B5C">
        <w:rPr>
          <w:rFonts w:cs="Calibri"/>
        </w:rPr>
        <w:t>maximum build up allowance of 30 kg/ha</w:t>
      </w:r>
      <w:r w:rsidR="00EE29E9">
        <w:rPr>
          <w:rFonts w:cs="Calibri"/>
        </w:rPr>
        <w:t>.</w:t>
      </w:r>
      <w:r w:rsidR="00F52CB4" w:rsidRPr="00F52CB4">
        <w:rPr>
          <w:rFonts w:cs="Calibri"/>
        </w:rPr>
        <w:t xml:space="preserve"> </w:t>
      </w:r>
      <w:r w:rsidR="005924C2">
        <w:rPr>
          <w:rFonts w:cs="Calibri"/>
        </w:rPr>
        <w:t>The proposed build up rates are contained in Table 13b of Appendix 3.</w:t>
      </w:r>
    </w:p>
    <w:p w:rsidR="00F95179" w:rsidRDefault="00F95179" w:rsidP="002128CD">
      <w:pPr>
        <w:spacing w:after="0" w:line="240" w:lineRule="auto"/>
        <w:jc w:val="both"/>
        <w:rPr>
          <w:rFonts w:cs="Calibri"/>
        </w:rPr>
      </w:pPr>
    </w:p>
    <w:p w:rsidR="004B413A" w:rsidRPr="004442DF" w:rsidRDefault="00EE29E9" w:rsidP="00895698">
      <w:pPr>
        <w:spacing w:after="0" w:line="240" w:lineRule="auto"/>
        <w:jc w:val="both"/>
        <w:rPr>
          <w:rFonts w:cs="Calibri"/>
        </w:rPr>
      </w:pPr>
      <w:r>
        <w:rPr>
          <w:rFonts w:cs="Calibri"/>
        </w:rPr>
        <w:t xml:space="preserve">The Group recommends </w:t>
      </w:r>
      <w:r w:rsidR="00427B5C">
        <w:rPr>
          <w:rFonts w:cs="Calibri"/>
        </w:rPr>
        <w:t>that a number of safeguards are built in to this proposal</w:t>
      </w:r>
      <w:r w:rsidR="00531370">
        <w:rPr>
          <w:rFonts w:cs="Calibri"/>
        </w:rPr>
        <w:t xml:space="preserve"> to ensure the transfer of P into water is prevented</w:t>
      </w:r>
      <w:r w:rsidR="00490964">
        <w:rPr>
          <w:rFonts w:cs="Calibri"/>
        </w:rPr>
        <w:t xml:space="preserve"> </w:t>
      </w:r>
      <w:r w:rsidR="004B413A">
        <w:rPr>
          <w:rFonts w:cs="Calibri"/>
        </w:rPr>
        <w:t>–</w:t>
      </w:r>
      <w:r w:rsidR="00427B5C">
        <w:rPr>
          <w:rFonts w:cs="Calibri"/>
        </w:rPr>
        <w:t xml:space="preserve"> </w:t>
      </w:r>
    </w:p>
    <w:p w:rsidR="00427B5C" w:rsidRDefault="00427B5C" w:rsidP="002128CD">
      <w:pPr>
        <w:numPr>
          <w:ilvl w:val="0"/>
          <w:numId w:val="5"/>
        </w:numPr>
        <w:spacing w:after="0" w:line="240" w:lineRule="auto"/>
        <w:jc w:val="both"/>
        <w:rPr>
          <w:rFonts w:cs="Calibri"/>
          <w:lang w:val="en-GB"/>
        </w:rPr>
      </w:pPr>
      <w:r>
        <w:rPr>
          <w:rFonts w:cs="Calibri"/>
          <w:lang w:val="en-GB"/>
        </w:rPr>
        <w:t xml:space="preserve">Farmers who wish to build up P levels </w:t>
      </w:r>
      <w:r w:rsidR="00490964">
        <w:rPr>
          <w:rFonts w:cs="Calibri"/>
          <w:lang w:val="en-GB"/>
        </w:rPr>
        <w:t xml:space="preserve">would be </w:t>
      </w:r>
      <w:r w:rsidR="00531370">
        <w:rPr>
          <w:rFonts w:cs="Calibri"/>
          <w:lang w:val="en-GB"/>
        </w:rPr>
        <w:t>r</w:t>
      </w:r>
      <w:r w:rsidR="00490964">
        <w:rPr>
          <w:rFonts w:cs="Calibri"/>
          <w:lang w:val="en-GB"/>
        </w:rPr>
        <w:t>equired to carry out soil analysis</w:t>
      </w:r>
      <w:r w:rsidR="005D1551">
        <w:rPr>
          <w:rFonts w:cs="Calibri"/>
          <w:lang w:val="en-GB"/>
        </w:rPr>
        <w:t xml:space="preserve"> </w:t>
      </w:r>
      <w:r w:rsidR="00BA5DFD">
        <w:t>including for both soil P  and soil organic content (unless it is demonstrated that all soils on a farm holding are mineral soils as opposed to high organic peat soils</w:t>
      </w:r>
      <w:r w:rsidR="00B66DC4">
        <w:t>)</w:t>
      </w:r>
      <w:r w:rsidR="00BA5DFD">
        <w:t>.</w:t>
      </w:r>
      <w:r w:rsidR="00BA5DFD">
        <w:rPr>
          <w:rFonts w:cs="Calibri"/>
          <w:lang w:val="en-GB"/>
        </w:rPr>
        <w:t xml:space="preserve"> </w:t>
      </w:r>
      <w:r w:rsidR="005D1551">
        <w:rPr>
          <w:rFonts w:cs="Calibri"/>
          <w:lang w:val="en-GB"/>
        </w:rPr>
        <w:t>The sampling area will be 5 ha (a reduction from 8 ha currently). Soil analysis results will be valid for 4 years (a reduction from 6 years currently).</w:t>
      </w:r>
      <w:r w:rsidR="00490964">
        <w:rPr>
          <w:rFonts w:cs="Calibri"/>
          <w:lang w:val="en-GB"/>
        </w:rPr>
        <w:t xml:space="preserve">  </w:t>
      </w:r>
      <w:r w:rsidR="005D1551">
        <w:rPr>
          <w:rFonts w:cs="Calibri"/>
          <w:lang w:val="en-GB"/>
        </w:rPr>
        <w:t xml:space="preserve">Farmers will be required to submit detailed nutrient management plans using the on-line NMP system. Farmers will be obliged to </w:t>
      </w:r>
      <w:r w:rsidR="00490964">
        <w:rPr>
          <w:rFonts w:cs="Calibri"/>
          <w:lang w:val="en-GB"/>
        </w:rPr>
        <w:t xml:space="preserve"> </w:t>
      </w:r>
      <w:r w:rsidR="00BE28FE">
        <w:rPr>
          <w:rFonts w:cs="Calibri"/>
          <w:lang w:val="en-GB"/>
        </w:rPr>
        <w:t xml:space="preserve">consult with DAFM approved Farm Advisory System agricultural advisers and </w:t>
      </w:r>
      <w:r w:rsidR="00490964">
        <w:rPr>
          <w:rFonts w:cs="Calibri"/>
          <w:lang w:val="en-GB"/>
        </w:rPr>
        <w:t xml:space="preserve">participate in relevant Knowledge Transfer </w:t>
      </w:r>
      <w:r w:rsidR="00531370">
        <w:rPr>
          <w:rFonts w:cs="Calibri"/>
          <w:lang w:val="en-GB"/>
        </w:rPr>
        <w:t>programmes;</w:t>
      </w:r>
    </w:p>
    <w:p w:rsidR="009F762B" w:rsidRPr="00F87C21" w:rsidRDefault="00F87C21" w:rsidP="002128CD">
      <w:pPr>
        <w:numPr>
          <w:ilvl w:val="0"/>
          <w:numId w:val="5"/>
        </w:numPr>
        <w:spacing w:after="0" w:line="240" w:lineRule="auto"/>
        <w:jc w:val="both"/>
        <w:rPr>
          <w:rFonts w:cs="Calibri"/>
          <w:lang w:val="en-GB"/>
        </w:rPr>
      </w:pPr>
      <w:r>
        <w:rPr>
          <w:rFonts w:cs="Calibri"/>
          <w:lang w:val="en-GB"/>
        </w:rPr>
        <w:t>The allowances would apply for a maximum of four years and t</w:t>
      </w:r>
      <w:r w:rsidR="00490964" w:rsidRPr="00F87C21">
        <w:rPr>
          <w:rFonts w:cs="Calibri"/>
          <w:lang w:val="en-GB"/>
        </w:rPr>
        <w:t>he P build up rates would only apply to index 1 and 2 soils</w:t>
      </w:r>
      <w:r w:rsidR="00531370" w:rsidRPr="00F87C21">
        <w:rPr>
          <w:rFonts w:cs="Calibri"/>
          <w:lang w:val="en-GB"/>
        </w:rPr>
        <w:t>;</w:t>
      </w:r>
    </w:p>
    <w:p w:rsidR="00490964" w:rsidRDefault="009F762B" w:rsidP="002128CD">
      <w:pPr>
        <w:numPr>
          <w:ilvl w:val="0"/>
          <w:numId w:val="5"/>
        </w:numPr>
        <w:spacing w:after="0" w:line="240" w:lineRule="auto"/>
        <w:jc w:val="both"/>
        <w:rPr>
          <w:rFonts w:cs="Calibri"/>
          <w:lang w:val="en-GB"/>
        </w:rPr>
      </w:pPr>
      <w:r>
        <w:rPr>
          <w:rFonts w:cs="Calibri"/>
          <w:lang w:val="en-GB"/>
        </w:rPr>
        <w:t>The build-up rates are set at 80% of the maximum required to build soil P levels to the top of P index 3 band over the four year programme which provides a significant safety margin to ensure that excess applications do not occur.</w:t>
      </w:r>
      <w:r w:rsidR="00490964">
        <w:rPr>
          <w:rFonts w:cs="Calibri"/>
          <w:lang w:val="en-GB"/>
        </w:rPr>
        <w:t xml:space="preserve"> </w:t>
      </w:r>
    </w:p>
    <w:p w:rsidR="00B66DC4" w:rsidRDefault="00B66DC4" w:rsidP="002128CD">
      <w:pPr>
        <w:spacing w:after="0" w:line="240" w:lineRule="auto"/>
        <w:ind w:left="720"/>
        <w:jc w:val="both"/>
        <w:rPr>
          <w:rFonts w:cs="Calibri"/>
          <w:lang w:val="en-GB"/>
        </w:rPr>
      </w:pPr>
    </w:p>
    <w:p w:rsidR="009F762B" w:rsidRDefault="00F553C6" w:rsidP="002128CD">
      <w:pPr>
        <w:spacing w:after="0" w:line="240" w:lineRule="auto"/>
        <w:jc w:val="both"/>
        <w:rPr>
          <w:rFonts w:cs="Calibri"/>
        </w:rPr>
      </w:pPr>
      <w:r>
        <w:rPr>
          <w:rFonts w:cs="Calibri"/>
        </w:rPr>
        <w:t>The Review Group recommends that these P build up rates would only apply to the</w:t>
      </w:r>
      <w:r w:rsidR="005422A9">
        <w:rPr>
          <w:rFonts w:cs="Calibri"/>
        </w:rPr>
        <w:t xml:space="preserve"> more intensively stock</w:t>
      </w:r>
      <w:r>
        <w:rPr>
          <w:rFonts w:cs="Calibri"/>
        </w:rPr>
        <w:t xml:space="preserve">ed </w:t>
      </w:r>
      <w:r w:rsidR="005422A9">
        <w:rPr>
          <w:rFonts w:cs="Calibri"/>
        </w:rPr>
        <w:t xml:space="preserve">grassland </w:t>
      </w:r>
      <w:r>
        <w:rPr>
          <w:rFonts w:cs="Calibri"/>
        </w:rPr>
        <w:t>farms with grasslan</w:t>
      </w:r>
      <w:r w:rsidR="00895698">
        <w:rPr>
          <w:rFonts w:cs="Calibri"/>
        </w:rPr>
        <w:t>d stocking rates above 130 kg N</w:t>
      </w:r>
      <w:r>
        <w:rPr>
          <w:rFonts w:cs="Calibri"/>
        </w:rPr>
        <w:t>/ha</w:t>
      </w:r>
      <w:r w:rsidR="005422A9">
        <w:rPr>
          <w:rFonts w:cs="Calibri"/>
        </w:rPr>
        <w:t>,</w:t>
      </w:r>
      <w:r>
        <w:rPr>
          <w:rFonts w:cs="Calibri"/>
        </w:rPr>
        <w:t xml:space="preserve"> where</w:t>
      </w:r>
      <w:r w:rsidR="00EE29E9">
        <w:rPr>
          <w:rFonts w:cs="Calibri"/>
        </w:rPr>
        <w:t xml:space="preserve"> soil fertility is </w:t>
      </w:r>
      <w:r w:rsidR="005422A9">
        <w:rPr>
          <w:rFonts w:cs="Calibri"/>
        </w:rPr>
        <w:t xml:space="preserve"> important in achieving target grass productions levels. </w:t>
      </w:r>
      <w:r>
        <w:rPr>
          <w:rFonts w:cs="Calibri"/>
        </w:rPr>
        <w:t xml:space="preserve"> </w:t>
      </w:r>
      <w:r w:rsidR="005422A9">
        <w:rPr>
          <w:rFonts w:cs="Calibri"/>
        </w:rPr>
        <w:t xml:space="preserve">Analysis of the 2015 National Farm Survey (NFS) shows that only 13.8% of farms above the 130 kg limit applied the full maintenance rates of P.     </w:t>
      </w:r>
      <w:r w:rsidR="00DD076D">
        <w:rPr>
          <w:rFonts w:cs="Calibri"/>
        </w:rPr>
        <w:t>There are 21,474</w:t>
      </w:r>
      <w:r>
        <w:rPr>
          <w:rFonts w:cs="Calibri"/>
        </w:rPr>
        <w:t xml:space="preserve"> (2015) with grasslan</w:t>
      </w:r>
      <w:r w:rsidR="00895698">
        <w:rPr>
          <w:rFonts w:cs="Calibri"/>
        </w:rPr>
        <w:t xml:space="preserve">d stocking rates above 130 kg N/ha; </w:t>
      </w:r>
      <w:r w:rsidR="005422A9">
        <w:rPr>
          <w:rFonts w:cs="Calibri"/>
        </w:rPr>
        <w:t>consequently it is estimated that around 3,000 farms</w:t>
      </w:r>
      <w:r w:rsidR="00CC5EBA">
        <w:rPr>
          <w:rFonts w:cs="Calibri"/>
        </w:rPr>
        <w:t xml:space="preserve"> </w:t>
      </w:r>
      <w:r w:rsidR="00442884">
        <w:rPr>
          <w:rFonts w:cs="Calibri"/>
        </w:rPr>
        <w:t xml:space="preserve">with a </w:t>
      </w:r>
      <w:r w:rsidR="00CC5EBA">
        <w:rPr>
          <w:rFonts w:cs="Calibri"/>
        </w:rPr>
        <w:t xml:space="preserve">total </w:t>
      </w:r>
      <w:r w:rsidR="00442884">
        <w:rPr>
          <w:rFonts w:cs="Calibri"/>
        </w:rPr>
        <w:t xml:space="preserve">farmed area </w:t>
      </w:r>
      <w:r w:rsidR="00041744">
        <w:rPr>
          <w:rFonts w:cs="Calibri"/>
        </w:rPr>
        <w:t>of 170,000</w:t>
      </w:r>
      <w:r w:rsidR="00CC5EBA">
        <w:rPr>
          <w:rFonts w:cs="Calibri"/>
        </w:rPr>
        <w:t xml:space="preserve"> </w:t>
      </w:r>
      <w:r w:rsidR="00442884">
        <w:rPr>
          <w:rFonts w:cs="Calibri"/>
        </w:rPr>
        <w:t xml:space="preserve">ha </w:t>
      </w:r>
      <w:r w:rsidR="005422A9">
        <w:rPr>
          <w:rFonts w:cs="Calibri"/>
        </w:rPr>
        <w:t>would avail of the P build-up.</w:t>
      </w:r>
      <w:r w:rsidR="00F87C21">
        <w:rPr>
          <w:rFonts w:cs="Calibri"/>
        </w:rPr>
        <w:t xml:space="preserve"> </w:t>
      </w:r>
      <w:r w:rsidR="00B61EB3">
        <w:rPr>
          <w:rFonts w:cs="Calibri"/>
        </w:rPr>
        <w:t xml:space="preserve">It is considered that the adoption of the proposed </w:t>
      </w:r>
      <w:r w:rsidR="005422A9">
        <w:rPr>
          <w:rFonts w:cs="Calibri"/>
        </w:rPr>
        <w:t xml:space="preserve">P </w:t>
      </w:r>
      <w:r w:rsidR="00B61EB3">
        <w:rPr>
          <w:rFonts w:cs="Calibri"/>
        </w:rPr>
        <w:t xml:space="preserve">build-up rates by this relatively small number of farmers </w:t>
      </w:r>
      <w:r w:rsidR="00C81874">
        <w:rPr>
          <w:rFonts w:cs="Calibri"/>
        </w:rPr>
        <w:t xml:space="preserve">coupled with the proposed safeguard measures outlined above </w:t>
      </w:r>
      <w:r w:rsidR="00B61EB3">
        <w:rPr>
          <w:rFonts w:cs="Calibri"/>
        </w:rPr>
        <w:t>would have a negligible impact on national P usage.</w:t>
      </w:r>
    </w:p>
    <w:p w:rsidR="004C048C" w:rsidRDefault="004C048C" w:rsidP="004C048C">
      <w:pPr>
        <w:spacing w:after="0" w:line="240" w:lineRule="auto"/>
        <w:rPr>
          <w:rFonts w:cs="Calibri"/>
        </w:rPr>
      </w:pPr>
    </w:p>
    <w:p w:rsidR="00176548" w:rsidRDefault="00EE29E9" w:rsidP="004C048C">
      <w:pPr>
        <w:spacing w:after="0" w:line="240" w:lineRule="auto"/>
        <w:rPr>
          <w:rFonts w:cs="Calibri"/>
          <w:b/>
        </w:rPr>
      </w:pPr>
      <w:r>
        <w:rPr>
          <w:rFonts w:cs="Calibri"/>
          <w:b/>
        </w:rPr>
        <w:t xml:space="preserve"> 3.3</w:t>
      </w:r>
      <w:r w:rsidR="005906BA" w:rsidRPr="001374C3">
        <w:rPr>
          <w:rFonts w:cs="Calibri"/>
          <w:b/>
        </w:rPr>
        <w:t xml:space="preserve">.2 </w:t>
      </w:r>
      <w:r w:rsidR="00E47AE7" w:rsidRPr="001374C3">
        <w:rPr>
          <w:rFonts w:cs="Calibri"/>
          <w:b/>
        </w:rPr>
        <w:t xml:space="preserve"> </w:t>
      </w:r>
      <w:r w:rsidR="00483466" w:rsidRPr="00483466">
        <w:rPr>
          <w:rFonts w:cs="Calibri"/>
          <w:b/>
        </w:rPr>
        <w:t>Permit limited importation of pig manure, above the current 170 kg  N/ha limit, onto farms with grassland stocking rates of above 130kg N/ ha where the soil P index is 1 or 2.</w:t>
      </w:r>
    </w:p>
    <w:p w:rsidR="004C048C" w:rsidRPr="001374C3" w:rsidRDefault="004C048C" w:rsidP="004C048C">
      <w:pPr>
        <w:spacing w:after="0" w:line="240" w:lineRule="auto"/>
        <w:rPr>
          <w:rFonts w:cs="Calibri"/>
          <w:b/>
        </w:rPr>
      </w:pPr>
    </w:p>
    <w:p w:rsidR="00483466" w:rsidRDefault="00483466" w:rsidP="002128CD">
      <w:pPr>
        <w:spacing w:after="0" w:line="240" w:lineRule="auto"/>
        <w:jc w:val="both"/>
        <w:rPr>
          <w:rFonts w:cs="Calibri"/>
        </w:rPr>
      </w:pPr>
      <w:r>
        <w:rPr>
          <w:rFonts w:cs="Calibri"/>
        </w:rPr>
        <w:t>In considering this proposal the Review Group took into account the high nutrient value of pig manure, the difficulties experienced by pig farmers in sourcing adequate spreadlands, the high proportion of sub-optimal P index soils and that farms with higher stocking rates have higher requirements for nutrients. It was noted that the volume of manure that can be imported and applied on the holding decreases with increasing stocking rate because of the 170 kg limit. This limits the potential for utilising pig manure on such farms to replace chemical P fertiliser.</w:t>
      </w:r>
    </w:p>
    <w:p w:rsidR="00483466" w:rsidRDefault="00483466" w:rsidP="002128CD">
      <w:pPr>
        <w:spacing w:after="0" w:line="240" w:lineRule="auto"/>
        <w:jc w:val="both"/>
        <w:rPr>
          <w:rFonts w:cs="Calibri"/>
        </w:rPr>
      </w:pPr>
    </w:p>
    <w:p w:rsidR="00483466" w:rsidRDefault="00483466" w:rsidP="002128CD">
      <w:pPr>
        <w:spacing w:after="0" w:line="240" w:lineRule="auto"/>
        <w:jc w:val="both"/>
        <w:rPr>
          <w:rFonts w:cs="Calibri"/>
        </w:rPr>
      </w:pPr>
      <w:r>
        <w:rPr>
          <w:rFonts w:cs="Calibri"/>
        </w:rPr>
        <w:t>With the dual aims of using all available organic fertilisers within the state efficiently to meet crop requirements and of reducing the overall dependence on chemical fertilisers as a consequence the Group recommends that farms with grassland stocking rat</w:t>
      </w:r>
      <w:r w:rsidR="00895698">
        <w:rPr>
          <w:rFonts w:cs="Calibri"/>
        </w:rPr>
        <w:t>es above 130 kg N/</w:t>
      </w:r>
      <w:r>
        <w:rPr>
          <w:rFonts w:cs="Calibri"/>
        </w:rPr>
        <w:t xml:space="preserve">ha be allowed to import above the current 170 kg limit and up to a maximum manure nitrogen limit </w:t>
      </w:r>
      <w:r w:rsidR="00747A3D">
        <w:rPr>
          <w:rFonts w:cs="Calibri"/>
        </w:rPr>
        <w:t>o</w:t>
      </w:r>
      <w:r w:rsidR="00895698">
        <w:rPr>
          <w:rFonts w:cs="Calibri"/>
        </w:rPr>
        <w:t>f 250kg/</w:t>
      </w:r>
      <w:r>
        <w:rPr>
          <w:rFonts w:cs="Calibri"/>
        </w:rPr>
        <w:t xml:space="preserve">ha; the calculations would be based on the previous year’s stocking rate data. This would help to address the sub-optimal soil P in a cost effective manner leading to improved nutrient use efficiency and would facilitate optimising the use of pig manure to displace chemical P reducing costs. It would be required that the pig manures be applied by Low Emission Slurry Spreading technology to further improve utilisation of nutrients. This proposal does not entail any change in N and P allowances. In making this recommendation the Review Group recognises that while the proposal represents a progressive step towards the more efficient use of </w:t>
      </w:r>
      <w:r w:rsidR="00747A3D">
        <w:rPr>
          <w:rFonts w:cs="Calibri"/>
        </w:rPr>
        <w:t>livestock manure</w:t>
      </w:r>
      <w:r>
        <w:rPr>
          <w:rFonts w:cs="Calibri"/>
        </w:rPr>
        <w:t xml:space="preserve"> and reduced reliance on chemical fertilisers there may </w:t>
      </w:r>
      <w:r w:rsidR="00747A3D">
        <w:rPr>
          <w:rFonts w:cs="Calibri"/>
        </w:rPr>
        <w:t xml:space="preserve">be </w:t>
      </w:r>
      <w:r w:rsidR="004E726F">
        <w:rPr>
          <w:rFonts w:cs="Calibri"/>
        </w:rPr>
        <w:t xml:space="preserve">difficulties in its </w:t>
      </w:r>
      <w:r w:rsidR="00747A3D">
        <w:rPr>
          <w:rFonts w:cs="Calibri"/>
        </w:rPr>
        <w:t>operation</w:t>
      </w:r>
      <w:r w:rsidR="004E726F">
        <w:rPr>
          <w:rFonts w:cs="Calibri"/>
        </w:rPr>
        <w:t xml:space="preserve"> within the </w:t>
      </w:r>
      <w:r w:rsidR="00BE4A3E">
        <w:rPr>
          <w:rFonts w:cs="Calibri"/>
        </w:rPr>
        <w:t>strict terms</w:t>
      </w:r>
      <w:r w:rsidR="004E726F">
        <w:rPr>
          <w:rFonts w:cs="Calibri"/>
        </w:rPr>
        <w:t xml:space="preserve"> of the Nitrates Directive.</w:t>
      </w:r>
    </w:p>
    <w:p w:rsidR="004C676E" w:rsidRDefault="004C676E" w:rsidP="004C048C">
      <w:pPr>
        <w:spacing w:after="0" w:line="240" w:lineRule="auto"/>
        <w:rPr>
          <w:rFonts w:cs="Calibri"/>
          <w:b/>
          <w:u w:val="single"/>
        </w:rPr>
      </w:pPr>
    </w:p>
    <w:p w:rsidR="001374C3" w:rsidRDefault="00EE29E9" w:rsidP="004C048C">
      <w:pPr>
        <w:spacing w:after="0" w:line="240" w:lineRule="auto"/>
        <w:rPr>
          <w:rFonts w:cs="Calibri"/>
          <w:b/>
          <w:u w:val="single"/>
        </w:rPr>
      </w:pPr>
      <w:r w:rsidRPr="00EE29E9">
        <w:rPr>
          <w:rFonts w:cs="Calibri"/>
          <w:b/>
          <w:u w:val="single"/>
        </w:rPr>
        <w:t>3.4</w:t>
      </w:r>
      <w:r w:rsidR="00152FAC" w:rsidRPr="00EE29E9">
        <w:rPr>
          <w:rFonts w:cs="Calibri"/>
          <w:b/>
          <w:u w:val="single"/>
        </w:rPr>
        <w:t xml:space="preserve"> </w:t>
      </w:r>
      <w:r w:rsidR="001374C3" w:rsidRPr="00EE29E9">
        <w:rPr>
          <w:rFonts w:cs="Calibri"/>
          <w:b/>
          <w:u w:val="single"/>
        </w:rPr>
        <w:t>Simplification of the regulations to improve implementation</w:t>
      </w:r>
    </w:p>
    <w:p w:rsidR="004C048C" w:rsidRPr="00EE29E9" w:rsidRDefault="004C048C" w:rsidP="004C048C">
      <w:pPr>
        <w:spacing w:after="0" w:line="240" w:lineRule="auto"/>
        <w:rPr>
          <w:rFonts w:cs="Calibri"/>
          <w:b/>
          <w:u w:val="single"/>
        </w:rPr>
      </w:pPr>
    </w:p>
    <w:p w:rsidR="00FE3114" w:rsidRDefault="00FE3114" w:rsidP="002128CD">
      <w:pPr>
        <w:spacing w:after="0" w:line="240" w:lineRule="auto"/>
        <w:jc w:val="both"/>
        <w:rPr>
          <w:rFonts w:cs="Calibri"/>
        </w:rPr>
      </w:pPr>
      <w:r w:rsidRPr="00EE29E9">
        <w:rPr>
          <w:rFonts w:cs="Calibri"/>
        </w:rPr>
        <w:t xml:space="preserve">A number of submissions were received regarding </w:t>
      </w:r>
      <w:r w:rsidR="005C042A" w:rsidRPr="00EE29E9">
        <w:rPr>
          <w:rFonts w:cs="Calibri"/>
        </w:rPr>
        <w:t>simplification</w:t>
      </w:r>
      <w:r w:rsidRPr="00EE29E9">
        <w:rPr>
          <w:rFonts w:cs="Calibri"/>
        </w:rPr>
        <w:t xml:space="preserve"> of the regulation</w:t>
      </w:r>
      <w:r w:rsidR="00926C57">
        <w:rPr>
          <w:rFonts w:cs="Calibri"/>
        </w:rPr>
        <w:t xml:space="preserve"> in order to</w:t>
      </w:r>
      <w:r w:rsidRPr="00EE29E9">
        <w:rPr>
          <w:rFonts w:cs="Calibri"/>
        </w:rPr>
        <w:t xml:space="preserve"> </w:t>
      </w:r>
      <w:r w:rsidR="00926C57">
        <w:rPr>
          <w:rFonts w:cs="Calibri"/>
        </w:rPr>
        <w:t>facilitate</w:t>
      </w:r>
      <w:r w:rsidR="00553903">
        <w:rPr>
          <w:rFonts w:cs="Calibri"/>
        </w:rPr>
        <w:t xml:space="preserve"> the better</w:t>
      </w:r>
      <w:r w:rsidR="00EE29E9">
        <w:rPr>
          <w:rFonts w:cs="Calibri"/>
        </w:rPr>
        <w:t xml:space="preserve"> understanding of re</w:t>
      </w:r>
      <w:r w:rsidRPr="00EE29E9">
        <w:rPr>
          <w:rFonts w:cs="Calibri"/>
        </w:rPr>
        <w:t xml:space="preserve">quirements thereby improving </w:t>
      </w:r>
      <w:r w:rsidR="00926C57">
        <w:rPr>
          <w:rFonts w:cs="Calibri"/>
        </w:rPr>
        <w:t xml:space="preserve">farmer </w:t>
      </w:r>
      <w:r w:rsidRPr="00EE29E9">
        <w:rPr>
          <w:rFonts w:cs="Calibri"/>
        </w:rPr>
        <w:t>implementation</w:t>
      </w:r>
      <w:r w:rsidR="00EE29E9">
        <w:rPr>
          <w:rFonts w:cs="Calibri"/>
        </w:rPr>
        <w:t>.</w:t>
      </w:r>
    </w:p>
    <w:p w:rsidR="004C048C" w:rsidRDefault="004C048C" w:rsidP="004C048C">
      <w:pPr>
        <w:spacing w:after="0" w:line="240" w:lineRule="auto"/>
        <w:rPr>
          <w:rFonts w:cs="Calibri"/>
          <w:b/>
        </w:rPr>
      </w:pPr>
    </w:p>
    <w:p w:rsidR="00152FAC" w:rsidRDefault="00926C57" w:rsidP="004C048C">
      <w:pPr>
        <w:spacing w:after="0" w:line="240" w:lineRule="auto"/>
        <w:rPr>
          <w:rFonts w:cs="Calibri"/>
          <w:b/>
        </w:rPr>
      </w:pPr>
      <w:r>
        <w:rPr>
          <w:rFonts w:cs="Calibri"/>
          <w:b/>
        </w:rPr>
        <w:t>3.4</w:t>
      </w:r>
      <w:r w:rsidR="005C042A">
        <w:rPr>
          <w:rFonts w:cs="Calibri"/>
          <w:b/>
        </w:rPr>
        <w:t>.1 Simplification</w:t>
      </w:r>
      <w:r w:rsidR="00FE3114">
        <w:rPr>
          <w:rFonts w:cs="Calibri"/>
          <w:b/>
        </w:rPr>
        <w:t xml:space="preserve"> of calculations </w:t>
      </w:r>
      <w:r w:rsidR="005C042A">
        <w:rPr>
          <w:rFonts w:cs="Calibri"/>
          <w:b/>
        </w:rPr>
        <w:t>for determining</w:t>
      </w:r>
      <w:r w:rsidR="00FE3114">
        <w:rPr>
          <w:rFonts w:cs="Calibri"/>
          <w:b/>
        </w:rPr>
        <w:t xml:space="preserve"> the maximum fertiliser N and P allowances</w:t>
      </w:r>
    </w:p>
    <w:p w:rsidR="004B413A" w:rsidRDefault="004B413A" w:rsidP="004C048C">
      <w:pPr>
        <w:spacing w:after="0" w:line="240" w:lineRule="auto"/>
        <w:rPr>
          <w:rFonts w:cs="Calibri"/>
          <w:b/>
        </w:rPr>
      </w:pPr>
    </w:p>
    <w:p w:rsidR="00012BFC" w:rsidRDefault="00FE3114" w:rsidP="002128CD">
      <w:pPr>
        <w:spacing w:after="0" w:line="240" w:lineRule="auto"/>
        <w:jc w:val="both"/>
        <w:rPr>
          <w:rFonts w:cs="Calibri"/>
        </w:rPr>
      </w:pPr>
      <w:r w:rsidRPr="00FE3114">
        <w:rPr>
          <w:rFonts w:cs="Calibri"/>
        </w:rPr>
        <w:t>Under the current GAP regulations the calculation of the total maximum permitted chemical N and P imports must take into account the contribution of total available N and P from grazing livestock manures</w:t>
      </w:r>
      <w:r w:rsidR="002A4191">
        <w:rPr>
          <w:rFonts w:cs="Calibri"/>
        </w:rPr>
        <w:t xml:space="preserve"> </w:t>
      </w:r>
      <w:r w:rsidR="00BD3E44">
        <w:rPr>
          <w:rFonts w:cs="Calibri"/>
        </w:rPr>
        <w:t>stored in tanks during</w:t>
      </w:r>
      <w:r w:rsidR="002A4191">
        <w:rPr>
          <w:rFonts w:cs="Calibri"/>
        </w:rPr>
        <w:t xml:space="preserve"> the storage </w:t>
      </w:r>
      <w:r w:rsidR="005C042A">
        <w:rPr>
          <w:rFonts w:cs="Calibri"/>
        </w:rPr>
        <w:t xml:space="preserve">period. </w:t>
      </w:r>
      <w:r w:rsidR="00533131">
        <w:rPr>
          <w:rFonts w:cs="Calibri"/>
        </w:rPr>
        <w:t xml:space="preserve">Under the regulations the country is divided into four zones of slurry storage requirements. </w:t>
      </w:r>
      <w:r w:rsidR="00F759B7">
        <w:rPr>
          <w:rFonts w:cs="Calibri"/>
        </w:rPr>
        <w:t>Currently these</w:t>
      </w:r>
      <w:r w:rsidR="00533131">
        <w:rPr>
          <w:rFonts w:cs="Calibri"/>
        </w:rPr>
        <w:t xml:space="preserve"> slurry storage capacity zones are used to determine how much N and P a farmer can import. This is resulting in the maximum N and P allowances for farmers in the zones with the longer storage requirements (18</w:t>
      </w:r>
      <w:r w:rsidR="00F759B7">
        <w:rPr>
          <w:rFonts w:cs="Calibri"/>
        </w:rPr>
        <w:t>, 20</w:t>
      </w:r>
      <w:r w:rsidR="00533131">
        <w:rPr>
          <w:rFonts w:cs="Calibri"/>
        </w:rPr>
        <w:t xml:space="preserve">, 22 weeks) being lower than for those in the zone with the shortest storage requirements (16 weeks), which is inequitable. The current </w:t>
      </w:r>
      <w:r w:rsidR="00F759B7">
        <w:rPr>
          <w:rFonts w:cs="Calibri"/>
        </w:rPr>
        <w:t>system results</w:t>
      </w:r>
      <w:r w:rsidR="00533131">
        <w:rPr>
          <w:rFonts w:cs="Calibri"/>
        </w:rPr>
        <w:t xml:space="preserve"> in complexity in the nutrient management planning calculations; it </w:t>
      </w:r>
      <w:r w:rsidR="00926C57">
        <w:rPr>
          <w:rFonts w:cs="Calibri"/>
        </w:rPr>
        <w:t>creates difficulties</w:t>
      </w:r>
      <w:r w:rsidR="002A4191">
        <w:rPr>
          <w:rFonts w:cs="Calibri"/>
        </w:rPr>
        <w:t xml:space="preserve"> for farms in such areas in achieving optimum P levels.</w:t>
      </w:r>
      <w:r w:rsidR="009C083F">
        <w:rPr>
          <w:rFonts w:cs="Calibri"/>
        </w:rPr>
        <w:t xml:space="preserve"> It is also based on </w:t>
      </w:r>
      <w:r w:rsidR="00206104">
        <w:rPr>
          <w:rFonts w:cs="Calibri"/>
        </w:rPr>
        <w:t xml:space="preserve">historic </w:t>
      </w:r>
      <w:r w:rsidR="009C083F">
        <w:rPr>
          <w:rFonts w:cs="Calibri"/>
        </w:rPr>
        <w:t xml:space="preserve">calculations which </w:t>
      </w:r>
      <w:r w:rsidR="00206104">
        <w:rPr>
          <w:rFonts w:cs="Calibri"/>
        </w:rPr>
        <w:t>do not reflect the current level of phosphorus offtake.</w:t>
      </w:r>
    </w:p>
    <w:p w:rsidR="004C048C" w:rsidRDefault="004C048C" w:rsidP="002128CD">
      <w:pPr>
        <w:spacing w:after="0" w:line="240" w:lineRule="auto"/>
        <w:jc w:val="both"/>
        <w:rPr>
          <w:rFonts w:cs="Calibri"/>
        </w:rPr>
      </w:pPr>
    </w:p>
    <w:p w:rsidR="00FE3114" w:rsidRDefault="005C042A" w:rsidP="002128CD">
      <w:pPr>
        <w:spacing w:after="0" w:line="240" w:lineRule="auto"/>
        <w:jc w:val="both"/>
        <w:rPr>
          <w:rFonts w:cs="Calibri"/>
        </w:rPr>
      </w:pPr>
      <w:r>
        <w:rPr>
          <w:rFonts w:cs="Calibri"/>
        </w:rPr>
        <w:t>The Review</w:t>
      </w:r>
      <w:r w:rsidR="00012BFC">
        <w:rPr>
          <w:rFonts w:cs="Calibri"/>
        </w:rPr>
        <w:t xml:space="preserve"> Group recommends the removal of the requirement to deduct N and P in grazing livestock manures in the calculation </w:t>
      </w:r>
      <w:r>
        <w:rPr>
          <w:rFonts w:cs="Calibri"/>
        </w:rPr>
        <w:t>of maximum</w:t>
      </w:r>
      <w:r w:rsidR="00012BFC">
        <w:rPr>
          <w:rFonts w:cs="Calibri"/>
        </w:rPr>
        <w:t xml:space="preserve"> N and P fertiliser allowances. It is considered that this </w:t>
      </w:r>
      <w:r w:rsidR="00450045">
        <w:rPr>
          <w:rFonts w:cs="Calibri"/>
        </w:rPr>
        <w:t>change in the regulations will make the calculation of N and P allowances easier to understand</w:t>
      </w:r>
      <w:r w:rsidR="004500CE">
        <w:rPr>
          <w:rFonts w:cs="Calibri"/>
        </w:rPr>
        <w:t xml:space="preserve"> for farmers, advisors and the wider industry and will make </w:t>
      </w:r>
      <w:r w:rsidR="00450045">
        <w:rPr>
          <w:rFonts w:cs="Calibri"/>
        </w:rPr>
        <w:t>nutrient management planning more effective</w:t>
      </w:r>
      <w:r w:rsidR="004500CE">
        <w:rPr>
          <w:rFonts w:cs="Calibri"/>
        </w:rPr>
        <w:t xml:space="preserve">. It will also result in farms in areas with longer storage requirements </w:t>
      </w:r>
      <w:r>
        <w:rPr>
          <w:rFonts w:cs="Calibri"/>
        </w:rPr>
        <w:t>having</w:t>
      </w:r>
      <w:r w:rsidR="004500CE">
        <w:rPr>
          <w:rFonts w:cs="Calibri"/>
        </w:rPr>
        <w:t xml:space="preserve"> the same N and P allowances as those in areas with the lower </w:t>
      </w:r>
      <w:r w:rsidR="00553903">
        <w:rPr>
          <w:rFonts w:cs="Calibri"/>
        </w:rPr>
        <w:t xml:space="preserve">storage </w:t>
      </w:r>
      <w:r w:rsidR="00B66DC4">
        <w:rPr>
          <w:rFonts w:cs="Calibri"/>
        </w:rPr>
        <w:t>requirements</w:t>
      </w:r>
      <w:r w:rsidR="00926C57">
        <w:rPr>
          <w:rFonts w:cs="Calibri"/>
        </w:rPr>
        <w:t>.</w:t>
      </w:r>
    </w:p>
    <w:p w:rsidR="004C048C" w:rsidRDefault="004C048C" w:rsidP="002128CD">
      <w:pPr>
        <w:spacing w:after="0" w:line="240" w:lineRule="auto"/>
        <w:jc w:val="both"/>
        <w:rPr>
          <w:rFonts w:cs="Calibri"/>
        </w:rPr>
      </w:pPr>
    </w:p>
    <w:p w:rsidR="004500CE" w:rsidRPr="00FE3114" w:rsidRDefault="004500CE" w:rsidP="002128CD">
      <w:pPr>
        <w:spacing w:after="0" w:line="240" w:lineRule="auto"/>
        <w:jc w:val="both"/>
        <w:rPr>
          <w:rFonts w:cs="Calibri"/>
        </w:rPr>
      </w:pPr>
      <w:r>
        <w:rPr>
          <w:rFonts w:cs="Calibri"/>
        </w:rPr>
        <w:t xml:space="preserve">The Group considers that this change will further facilitate the attainment of optimum soil P levels </w:t>
      </w:r>
      <w:r w:rsidR="005C042A">
        <w:rPr>
          <w:rFonts w:cs="Calibri"/>
        </w:rPr>
        <w:t>thereby</w:t>
      </w:r>
      <w:r>
        <w:rPr>
          <w:rFonts w:cs="Calibri"/>
        </w:rPr>
        <w:t xml:space="preserve"> improving nutrient use efficiency with the consequential production and environmental benefits. New maximum N and P tables would be incorporated into the new </w:t>
      </w:r>
      <w:r w:rsidR="005C042A">
        <w:rPr>
          <w:rFonts w:cs="Calibri"/>
        </w:rPr>
        <w:t>regulations</w:t>
      </w:r>
      <w:r>
        <w:rPr>
          <w:rFonts w:cs="Calibri"/>
        </w:rPr>
        <w:t xml:space="preserve"> to take</w:t>
      </w:r>
      <w:r w:rsidR="00B74417">
        <w:rPr>
          <w:rFonts w:cs="Calibri"/>
        </w:rPr>
        <w:t xml:space="preserve"> account of this change. </w:t>
      </w:r>
      <w:r>
        <w:rPr>
          <w:rFonts w:cs="Calibri"/>
        </w:rPr>
        <w:t xml:space="preserve"> </w:t>
      </w:r>
    </w:p>
    <w:p w:rsidR="004C048C" w:rsidRDefault="004C048C" w:rsidP="004C048C">
      <w:pPr>
        <w:spacing w:after="0" w:line="240" w:lineRule="auto"/>
        <w:rPr>
          <w:rFonts w:cs="Calibri"/>
          <w:b/>
        </w:rPr>
      </w:pPr>
    </w:p>
    <w:p w:rsidR="00152FAC" w:rsidRDefault="00926C57" w:rsidP="004C048C">
      <w:pPr>
        <w:spacing w:after="0" w:line="240" w:lineRule="auto"/>
        <w:rPr>
          <w:rFonts w:cs="Calibri"/>
          <w:b/>
        </w:rPr>
      </w:pPr>
      <w:r>
        <w:rPr>
          <w:rFonts w:cs="Calibri"/>
          <w:b/>
        </w:rPr>
        <w:t>3.4</w:t>
      </w:r>
      <w:r w:rsidR="005C1B15">
        <w:rPr>
          <w:rFonts w:cs="Calibri"/>
          <w:b/>
        </w:rPr>
        <w:t xml:space="preserve">.2 Basing nutrient management plans on previous year’s data </w:t>
      </w:r>
    </w:p>
    <w:p w:rsidR="004C048C" w:rsidRDefault="004C048C" w:rsidP="004C048C">
      <w:pPr>
        <w:spacing w:after="0" w:line="240" w:lineRule="auto"/>
        <w:rPr>
          <w:rFonts w:cs="Calibri"/>
        </w:rPr>
      </w:pPr>
    </w:p>
    <w:p w:rsidR="005C1B15" w:rsidRPr="00B74417" w:rsidRDefault="005C1B15" w:rsidP="002128CD">
      <w:pPr>
        <w:spacing w:after="0" w:line="240" w:lineRule="auto"/>
        <w:jc w:val="both"/>
        <w:rPr>
          <w:rFonts w:cs="Calibri"/>
        </w:rPr>
      </w:pPr>
      <w:r w:rsidRPr="00B74417">
        <w:rPr>
          <w:rFonts w:cs="Calibri"/>
        </w:rPr>
        <w:t>The maximum N and P allowances in the regulations are based on the</w:t>
      </w:r>
      <w:r w:rsidR="00B74417">
        <w:rPr>
          <w:rFonts w:cs="Calibri"/>
        </w:rPr>
        <w:t xml:space="preserve"> farm</w:t>
      </w:r>
      <w:r w:rsidRPr="00B74417">
        <w:rPr>
          <w:rFonts w:cs="Calibri"/>
        </w:rPr>
        <w:t xml:space="preserve"> stocking rate. Currently these allowances are calculated based on forecast stocking rates</w:t>
      </w:r>
      <w:r w:rsidR="00EF3CCC" w:rsidRPr="00B74417">
        <w:rPr>
          <w:rFonts w:cs="Calibri"/>
        </w:rPr>
        <w:t xml:space="preserve">, taking </w:t>
      </w:r>
      <w:r w:rsidR="00B74417">
        <w:rPr>
          <w:rFonts w:cs="Calibri"/>
        </w:rPr>
        <w:t xml:space="preserve">into </w:t>
      </w:r>
      <w:r w:rsidR="00EF3CCC" w:rsidRPr="00B74417">
        <w:rPr>
          <w:rFonts w:cs="Calibri"/>
        </w:rPr>
        <w:t>account the previous year’s stocking rate</w:t>
      </w:r>
      <w:r w:rsidR="00213F30" w:rsidRPr="00B74417">
        <w:rPr>
          <w:rFonts w:cs="Calibri"/>
        </w:rPr>
        <w:t xml:space="preserve"> information as detailed on the full year N and P statement provided by DAFM</w:t>
      </w:r>
      <w:r w:rsidR="00EF3CCC" w:rsidRPr="00B74417">
        <w:rPr>
          <w:rFonts w:cs="Calibri"/>
        </w:rPr>
        <w:t>.</w:t>
      </w:r>
      <w:r w:rsidRPr="00B74417">
        <w:rPr>
          <w:rFonts w:cs="Calibri"/>
        </w:rPr>
        <w:t xml:space="preserve"> </w:t>
      </w:r>
      <w:r w:rsidR="004A19C2">
        <w:rPr>
          <w:rFonts w:cs="Calibri"/>
        </w:rPr>
        <w:t>This usually</w:t>
      </w:r>
      <w:r w:rsidR="00EF3CCC" w:rsidRPr="00B74417">
        <w:rPr>
          <w:rFonts w:cs="Calibri"/>
        </w:rPr>
        <w:t xml:space="preserve"> result</w:t>
      </w:r>
      <w:r w:rsidR="00B74417">
        <w:rPr>
          <w:rFonts w:cs="Calibri"/>
        </w:rPr>
        <w:t>s in nutrient management planning</w:t>
      </w:r>
      <w:r w:rsidR="00EF3CCC" w:rsidRPr="00B74417">
        <w:rPr>
          <w:rFonts w:cs="Calibri"/>
        </w:rPr>
        <w:t xml:space="preserve"> being completed in the</w:t>
      </w:r>
      <w:r w:rsidR="00213F30" w:rsidRPr="00B74417">
        <w:rPr>
          <w:rFonts w:cs="Calibri"/>
        </w:rPr>
        <w:t xml:space="preserve"> </w:t>
      </w:r>
      <w:r w:rsidR="00F759B7" w:rsidRPr="00B74417">
        <w:rPr>
          <w:rFonts w:cs="Calibri"/>
        </w:rPr>
        <w:t>first quart</w:t>
      </w:r>
      <w:r w:rsidR="00F759B7">
        <w:rPr>
          <w:rFonts w:cs="Calibri"/>
        </w:rPr>
        <w:t>er</w:t>
      </w:r>
      <w:r w:rsidR="00B74417">
        <w:rPr>
          <w:rFonts w:cs="Calibri"/>
        </w:rPr>
        <w:t xml:space="preserve"> of the year </w:t>
      </w:r>
      <w:r w:rsidR="00B74417">
        <w:rPr>
          <w:rFonts w:cs="Calibri"/>
        </w:rPr>
        <w:lastRenderedPageBreak/>
        <w:t>(January – March), which</w:t>
      </w:r>
      <w:r w:rsidR="00820CFD" w:rsidRPr="00B74417">
        <w:rPr>
          <w:rFonts w:cs="Calibri"/>
        </w:rPr>
        <w:t xml:space="preserve"> is </w:t>
      </w:r>
      <w:r w:rsidR="00F95179">
        <w:rPr>
          <w:rFonts w:cs="Calibri"/>
        </w:rPr>
        <w:t>often</w:t>
      </w:r>
      <w:r w:rsidR="00820CFD" w:rsidRPr="00B74417">
        <w:rPr>
          <w:rFonts w:cs="Calibri"/>
        </w:rPr>
        <w:t xml:space="preserve"> too late </w:t>
      </w:r>
      <w:r w:rsidR="00EF3CCC" w:rsidRPr="00B74417">
        <w:rPr>
          <w:rFonts w:cs="Calibri"/>
        </w:rPr>
        <w:t>to accurately plan specific fertiliser purchases to meet requirements. Furthermore</w:t>
      </w:r>
      <w:r w:rsidR="00771017">
        <w:rPr>
          <w:rFonts w:cs="Calibri"/>
        </w:rPr>
        <w:t>,</w:t>
      </w:r>
      <w:r w:rsidR="00EF3CCC" w:rsidRPr="00B74417">
        <w:rPr>
          <w:rFonts w:cs="Calibri"/>
        </w:rPr>
        <w:t xml:space="preserve"> the current system can create </w:t>
      </w:r>
      <w:r w:rsidR="00771017">
        <w:rPr>
          <w:rFonts w:cs="Calibri"/>
        </w:rPr>
        <w:t>excessive</w:t>
      </w:r>
      <w:r w:rsidR="00771017" w:rsidRPr="00B74417">
        <w:rPr>
          <w:rFonts w:cs="Calibri"/>
        </w:rPr>
        <w:t xml:space="preserve"> </w:t>
      </w:r>
      <w:r w:rsidR="00EF3CCC" w:rsidRPr="00B74417">
        <w:rPr>
          <w:rFonts w:cs="Calibri"/>
        </w:rPr>
        <w:t>caution</w:t>
      </w:r>
      <w:r w:rsidR="00213F30" w:rsidRPr="00B74417">
        <w:rPr>
          <w:rFonts w:cs="Calibri"/>
        </w:rPr>
        <w:t xml:space="preserve"> in the calculation of fertiliser requirements in order to avoid penalties,</w:t>
      </w:r>
      <w:r w:rsidR="00EF3CCC" w:rsidRPr="00B74417">
        <w:rPr>
          <w:rFonts w:cs="Calibri"/>
        </w:rPr>
        <w:t xml:space="preserve"> which is one of the factors contributing to the decline in soil fertility levels</w:t>
      </w:r>
      <w:r w:rsidR="00B74417">
        <w:rPr>
          <w:rFonts w:cs="Calibri"/>
        </w:rPr>
        <w:t>.</w:t>
      </w:r>
    </w:p>
    <w:p w:rsidR="00F95179" w:rsidRDefault="00F95179" w:rsidP="002128CD">
      <w:pPr>
        <w:spacing w:after="0" w:line="240" w:lineRule="auto"/>
        <w:jc w:val="both"/>
        <w:rPr>
          <w:rFonts w:cs="Calibri"/>
        </w:rPr>
      </w:pPr>
    </w:p>
    <w:p w:rsidR="005C1B15" w:rsidRPr="00B74417" w:rsidRDefault="00213F30" w:rsidP="002128CD">
      <w:pPr>
        <w:spacing w:after="0" w:line="240" w:lineRule="auto"/>
        <w:jc w:val="both"/>
        <w:rPr>
          <w:rFonts w:cs="Calibri"/>
        </w:rPr>
      </w:pPr>
      <w:r w:rsidRPr="00B74417">
        <w:rPr>
          <w:rFonts w:cs="Calibri"/>
        </w:rPr>
        <w:t xml:space="preserve">The Review Group recommends that farmers be allowed to use the previous </w:t>
      </w:r>
      <w:r w:rsidR="005C042A" w:rsidRPr="00B74417">
        <w:rPr>
          <w:rFonts w:cs="Calibri"/>
        </w:rPr>
        <w:t>year’s</w:t>
      </w:r>
      <w:r w:rsidRPr="00B74417">
        <w:rPr>
          <w:rFonts w:cs="Calibri"/>
        </w:rPr>
        <w:t xml:space="preserve"> N and P figures for grazing livestock to determine the maximum N and P allowance</w:t>
      </w:r>
      <w:r w:rsidR="005420D7" w:rsidRPr="00B74417">
        <w:rPr>
          <w:rFonts w:cs="Calibri"/>
        </w:rPr>
        <w:t>, rather t</w:t>
      </w:r>
      <w:r w:rsidRPr="00B74417">
        <w:rPr>
          <w:rFonts w:cs="Calibri"/>
        </w:rPr>
        <w:t>h</w:t>
      </w:r>
      <w:r w:rsidR="005420D7" w:rsidRPr="00B74417">
        <w:rPr>
          <w:rFonts w:cs="Calibri"/>
        </w:rPr>
        <w:t>a</w:t>
      </w:r>
      <w:r w:rsidRPr="00B74417">
        <w:rPr>
          <w:rFonts w:cs="Calibri"/>
        </w:rPr>
        <w:t>n using forecast data. The Group is satisfied that this would allow for more certainty and more effective planning ahead of the fertiliser purchasing season.</w:t>
      </w:r>
      <w:r w:rsidR="00AE7F30" w:rsidRPr="00B74417">
        <w:rPr>
          <w:rFonts w:cs="Calibri"/>
        </w:rPr>
        <w:t xml:space="preserve"> It would also remove the risk</w:t>
      </w:r>
      <w:r w:rsidR="005420D7" w:rsidRPr="00B74417">
        <w:rPr>
          <w:rFonts w:cs="Calibri"/>
        </w:rPr>
        <w:t xml:space="preserve"> of penalties </w:t>
      </w:r>
      <w:r w:rsidR="00820CFD" w:rsidRPr="00B74417">
        <w:rPr>
          <w:rFonts w:cs="Calibri"/>
        </w:rPr>
        <w:t xml:space="preserve">for farmers </w:t>
      </w:r>
      <w:r w:rsidR="005420D7" w:rsidRPr="00B74417">
        <w:rPr>
          <w:rFonts w:cs="Calibri"/>
        </w:rPr>
        <w:t>as a result of unforeseen changes in livestock and land area during the year</w:t>
      </w:r>
      <w:r w:rsidR="00820CFD" w:rsidRPr="00B74417">
        <w:rPr>
          <w:rFonts w:cs="Calibri"/>
        </w:rPr>
        <w:t xml:space="preserve">. </w:t>
      </w:r>
      <w:r w:rsidR="005C042A" w:rsidRPr="00B74417">
        <w:rPr>
          <w:rFonts w:cs="Calibri"/>
        </w:rPr>
        <w:t>The Group</w:t>
      </w:r>
      <w:r w:rsidR="00820CFD" w:rsidRPr="00B74417">
        <w:rPr>
          <w:rFonts w:cs="Calibri"/>
        </w:rPr>
        <w:t xml:space="preserve"> is satisfied that there is no negative environmental impact from this solution and it does not entail any change in N and P allowances. </w:t>
      </w:r>
      <w:r w:rsidR="005420D7" w:rsidRPr="00B74417">
        <w:rPr>
          <w:rFonts w:cs="Calibri"/>
        </w:rPr>
        <w:t xml:space="preserve"> </w:t>
      </w:r>
      <w:r w:rsidR="00AE7F30" w:rsidRPr="00B74417">
        <w:rPr>
          <w:rFonts w:cs="Calibri"/>
        </w:rPr>
        <w:t xml:space="preserve"> </w:t>
      </w:r>
    </w:p>
    <w:p w:rsidR="007103EE" w:rsidRDefault="007103EE" w:rsidP="004C048C">
      <w:pPr>
        <w:spacing w:after="0" w:line="240" w:lineRule="auto"/>
        <w:rPr>
          <w:rFonts w:cs="Calibri"/>
          <w:b/>
          <w:u w:val="single"/>
        </w:rPr>
      </w:pPr>
    </w:p>
    <w:p w:rsidR="00090051" w:rsidRPr="00B74417" w:rsidRDefault="00090051" w:rsidP="00090051">
      <w:pPr>
        <w:spacing w:after="0" w:line="240" w:lineRule="auto"/>
        <w:rPr>
          <w:rFonts w:cs="Calibri"/>
          <w:b/>
          <w:u w:val="single"/>
        </w:rPr>
      </w:pPr>
      <w:r w:rsidRPr="00B74417">
        <w:rPr>
          <w:rFonts w:cs="Calibri"/>
          <w:b/>
          <w:u w:val="single"/>
        </w:rPr>
        <w:t>3.5  Knowledge Transfer (KT)</w:t>
      </w:r>
    </w:p>
    <w:p w:rsidR="00090051" w:rsidRDefault="00090051" w:rsidP="00090051">
      <w:pPr>
        <w:spacing w:after="0" w:line="240" w:lineRule="auto"/>
        <w:rPr>
          <w:rFonts w:cs="Calibri"/>
          <w:lang w:eastAsia="en-IE"/>
        </w:rPr>
      </w:pPr>
    </w:p>
    <w:p w:rsidR="00090051" w:rsidRDefault="00090051" w:rsidP="002128CD">
      <w:pPr>
        <w:spacing w:after="0" w:line="240" w:lineRule="auto"/>
        <w:jc w:val="both"/>
        <w:rPr>
          <w:rFonts w:cs="Calibri"/>
          <w:lang w:eastAsia="en-IE"/>
        </w:rPr>
      </w:pPr>
      <w:r>
        <w:rPr>
          <w:rFonts w:cs="Calibri"/>
          <w:lang w:eastAsia="en-IE"/>
        </w:rPr>
        <w:t xml:space="preserve">The Review </w:t>
      </w:r>
      <w:r w:rsidRPr="00B74417">
        <w:rPr>
          <w:rFonts w:cs="Calibri"/>
          <w:lang w:eastAsia="en-IE"/>
        </w:rPr>
        <w:t xml:space="preserve">Group </w:t>
      </w:r>
      <w:r>
        <w:rPr>
          <w:rFonts w:cs="Calibri"/>
          <w:lang w:eastAsia="en-IE"/>
        </w:rPr>
        <w:t>makes two recommendations in relation to Knowledge Transfer (KT) initiatives.  These are as follows;</w:t>
      </w:r>
    </w:p>
    <w:p w:rsidR="00090051" w:rsidRDefault="00090051" w:rsidP="002128CD">
      <w:pPr>
        <w:spacing w:after="0" w:line="240" w:lineRule="auto"/>
        <w:jc w:val="both"/>
        <w:rPr>
          <w:rFonts w:cs="Calibri"/>
          <w:lang w:eastAsia="en-IE"/>
        </w:rPr>
      </w:pPr>
    </w:p>
    <w:p w:rsidR="00090051" w:rsidRPr="00B74417" w:rsidRDefault="00090051" w:rsidP="002128CD">
      <w:pPr>
        <w:spacing w:after="0" w:line="240" w:lineRule="auto"/>
        <w:jc w:val="both"/>
        <w:rPr>
          <w:rFonts w:cs="Calibri"/>
          <w:lang w:eastAsia="en-IE"/>
        </w:rPr>
      </w:pPr>
      <w:r>
        <w:rPr>
          <w:rFonts w:cs="Calibri"/>
          <w:lang w:eastAsia="en-IE"/>
        </w:rPr>
        <w:t>1)</w:t>
      </w:r>
      <w:r w:rsidRPr="00B74417">
        <w:rPr>
          <w:rFonts w:cs="Calibri"/>
          <w:lang w:eastAsia="en-IE"/>
        </w:rPr>
        <w:t xml:space="preserve"> </w:t>
      </w:r>
      <w:r>
        <w:rPr>
          <w:rFonts w:cs="Calibri"/>
          <w:lang w:eastAsia="en-IE"/>
        </w:rPr>
        <w:t xml:space="preserve">In order to minimise the risk of phosphorus losses to waters the Review Group recommends that a farmer </w:t>
      </w:r>
      <w:r w:rsidRPr="00B74417">
        <w:rPr>
          <w:rFonts w:cs="Calibri"/>
          <w:lang w:eastAsia="en-IE"/>
        </w:rPr>
        <w:t>wish</w:t>
      </w:r>
      <w:r>
        <w:rPr>
          <w:rFonts w:cs="Calibri"/>
          <w:lang w:eastAsia="en-IE"/>
        </w:rPr>
        <w:t>ing</w:t>
      </w:r>
      <w:r w:rsidRPr="00B74417">
        <w:rPr>
          <w:rFonts w:cs="Calibri"/>
          <w:lang w:eastAsia="en-IE"/>
        </w:rPr>
        <w:t xml:space="preserve"> to avail of the </w:t>
      </w:r>
      <w:r>
        <w:rPr>
          <w:rFonts w:cs="Calibri"/>
          <w:lang w:eastAsia="en-IE"/>
        </w:rPr>
        <w:t xml:space="preserve">proposed </w:t>
      </w:r>
      <w:r w:rsidRPr="00B74417">
        <w:rPr>
          <w:rFonts w:cs="Calibri"/>
          <w:lang w:eastAsia="en-IE"/>
        </w:rPr>
        <w:t xml:space="preserve">increased P build-up rates </w:t>
      </w:r>
      <w:r>
        <w:rPr>
          <w:rFonts w:cs="Calibri"/>
          <w:lang w:eastAsia="en-IE"/>
        </w:rPr>
        <w:t>referred to in section 3.3.1. above</w:t>
      </w:r>
      <w:r w:rsidRPr="00B74417">
        <w:rPr>
          <w:rFonts w:cs="Calibri"/>
          <w:lang w:eastAsia="en-IE"/>
        </w:rPr>
        <w:t xml:space="preserve"> would be required to participate in </w:t>
      </w:r>
      <w:r>
        <w:rPr>
          <w:rFonts w:cs="Calibri"/>
          <w:lang w:eastAsia="en-IE"/>
        </w:rPr>
        <w:t>a KT</w:t>
      </w:r>
      <w:r w:rsidRPr="00B74417">
        <w:rPr>
          <w:rFonts w:cs="Calibri"/>
          <w:lang w:eastAsia="en-IE"/>
        </w:rPr>
        <w:t xml:space="preserve"> programme </w:t>
      </w:r>
      <w:r>
        <w:rPr>
          <w:rFonts w:cs="Calibri"/>
          <w:lang w:eastAsia="en-IE"/>
        </w:rPr>
        <w:t>consisting of the</w:t>
      </w:r>
      <w:r w:rsidRPr="00B74417">
        <w:rPr>
          <w:rFonts w:cs="Calibri"/>
          <w:lang w:eastAsia="en-IE"/>
        </w:rPr>
        <w:t xml:space="preserve"> follow</w:t>
      </w:r>
      <w:r>
        <w:rPr>
          <w:rFonts w:cs="Calibri"/>
          <w:lang w:eastAsia="en-IE"/>
        </w:rPr>
        <w:t>ing elements;</w:t>
      </w:r>
      <w:r w:rsidRPr="00B74417">
        <w:rPr>
          <w:rFonts w:cs="Calibri"/>
          <w:lang w:eastAsia="en-IE"/>
        </w:rPr>
        <w:t xml:space="preserve">– </w:t>
      </w:r>
    </w:p>
    <w:p w:rsidR="00090051" w:rsidRPr="00B74417" w:rsidRDefault="00895698" w:rsidP="002128CD">
      <w:pPr>
        <w:numPr>
          <w:ilvl w:val="0"/>
          <w:numId w:val="28"/>
        </w:numPr>
        <w:spacing w:after="0" w:line="240" w:lineRule="auto"/>
        <w:jc w:val="both"/>
        <w:rPr>
          <w:rFonts w:cs="Calibri"/>
          <w:lang w:eastAsia="en-IE"/>
        </w:rPr>
      </w:pPr>
      <w:r>
        <w:rPr>
          <w:rFonts w:cs="Calibri"/>
          <w:lang w:eastAsia="en-IE"/>
        </w:rPr>
        <w:t xml:space="preserve">Nutrient management - </w:t>
      </w:r>
      <w:r w:rsidR="00090051" w:rsidRPr="00B74417">
        <w:rPr>
          <w:rFonts w:cs="Calibri"/>
          <w:lang w:eastAsia="en-IE"/>
        </w:rPr>
        <w:t xml:space="preserve">based on soil sampling and analysis for the whole farm, with a maximum sampling area of 5ha  and the results valid for the subsequent four production seasons. A nutrient management plan (NMP) would be prepared by a DAFM trained advisor providing a tailored organic and chemical fertiliser programme </w:t>
      </w:r>
      <w:r w:rsidR="00F168A9" w:rsidRPr="00F168A9">
        <w:rPr>
          <w:rFonts w:cs="Calibri"/>
          <w:lang w:eastAsia="en-IE"/>
        </w:rPr>
        <w:t>taking account of soil analysis and the crop/ grassland requirements.</w:t>
      </w:r>
    </w:p>
    <w:p w:rsidR="00090051" w:rsidRPr="00B74417" w:rsidRDefault="00090051" w:rsidP="002128CD">
      <w:pPr>
        <w:numPr>
          <w:ilvl w:val="0"/>
          <w:numId w:val="28"/>
        </w:numPr>
        <w:spacing w:after="0" w:line="240" w:lineRule="auto"/>
        <w:jc w:val="both"/>
        <w:rPr>
          <w:rFonts w:cs="Calibri"/>
          <w:lang w:eastAsia="en-IE"/>
        </w:rPr>
      </w:pPr>
      <w:r>
        <w:rPr>
          <w:rFonts w:cs="Calibri"/>
          <w:lang w:eastAsia="en-IE"/>
        </w:rPr>
        <w:t>Assessing</w:t>
      </w:r>
      <w:r w:rsidRPr="00B74417">
        <w:rPr>
          <w:rFonts w:cs="Calibri"/>
          <w:lang w:eastAsia="en-IE"/>
        </w:rPr>
        <w:t xml:space="preserve"> P loss risk</w:t>
      </w:r>
      <w:r>
        <w:rPr>
          <w:rFonts w:cs="Calibri"/>
          <w:lang w:eastAsia="en-IE"/>
        </w:rPr>
        <w:t xml:space="preserve"> on a field-by-field basis</w:t>
      </w:r>
      <w:r w:rsidR="00895698">
        <w:rPr>
          <w:rFonts w:cs="Calibri"/>
          <w:lang w:eastAsia="en-IE"/>
        </w:rPr>
        <w:t xml:space="preserve"> - </w:t>
      </w:r>
      <w:r>
        <w:rPr>
          <w:rFonts w:cs="Calibri"/>
          <w:lang w:eastAsia="en-IE"/>
        </w:rPr>
        <w:t xml:space="preserve">this would be </w:t>
      </w:r>
      <w:r w:rsidRPr="00B74417">
        <w:rPr>
          <w:rFonts w:cs="Calibri"/>
          <w:lang w:eastAsia="en-IE"/>
        </w:rPr>
        <w:t>developed through discussion between the advisor and farmer of areas of the farm susceptible to P nutrient loss and appropriate mitigating measures.</w:t>
      </w:r>
    </w:p>
    <w:p w:rsidR="00090051" w:rsidRPr="00B74417" w:rsidRDefault="00895698" w:rsidP="002128CD">
      <w:pPr>
        <w:numPr>
          <w:ilvl w:val="0"/>
          <w:numId w:val="28"/>
        </w:numPr>
        <w:spacing w:after="0" w:line="240" w:lineRule="auto"/>
        <w:jc w:val="both"/>
        <w:rPr>
          <w:rFonts w:cs="Calibri"/>
          <w:lang w:eastAsia="en-IE"/>
        </w:rPr>
      </w:pPr>
      <w:r>
        <w:rPr>
          <w:rFonts w:cs="Calibri"/>
          <w:lang w:eastAsia="en-IE"/>
        </w:rPr>
        <w:t xml:space="preserve">Farmer training - </w:t>
      </w:r>
      <w:r w:rsidR="00090051">
        <w:rPr>
          <w:rFonts w:cs="Calibri"/>
          <w:lang w:eastAsia="en-IE"/>
        </w:rPr>
        <w:t>all participating farmers would</w:t>
      </w:r>
      <w:r w:rsidR="00090051" w:rsidRPr="00B74417">
        <w:rPr>
          <w:rFonts w:cs="Calibri"/>
          <w:lang w:eastAsia="en-IE"/>
        </w:rPr>
        <w:t xml:space="preserve"> be required to comp</w:t>
      </w:r>
      <w:r>
        <w:rPr>
          <w:rFonts w:cs="Calibri"/>
          <w:lang w:eastAsia="en-IE"/>
        </w:rPr>
        <w:t xml:space="preserve">lete a half-day training module </w:t>
      </w:r>
      <w:r w:rsidR="00090051" w:rsidRPr="00B74417">
        <w:rPr>
          <w:rFonts w:cs="Calibri"/>
          <w:lang w:eastAsia="en-IE"/>
        </w:rPr>
        <w:t>delivered by trained advisers which would cover farmyard and landscape management for the protection of water, and principles of nutrient management best practice</w:t>
      </w:r>
    </w:p>
    <w:p w:rsidR="00090051" w:rsidRDefault="007F1E54" w:rsidP="002128CD">
      <w:pPr>
        <w:numPr>
          <w:ilvl w:val="0"/>
          <w:numId w:val="28"/>
        </w:numPr>
        <w:spacing w:after="0" w:line="240" w:lineRule="auto"/>
        <w:jc w:val="both"/>
        <w:rPr>
          <w:rFonts w:cs="Calibri"/>
          <w:lang w:eastAsia="en-IE"/>
        </w:rPr>
      </w:pPr>
      <w:r>
        <w:rPr>
          <w:rFonts w:cs="Calibri"/>
          <w:lang w:eastAsia="en-IE"/>
        </w:rPr>
        <w:t xml:space="preserve">Annual advisory </w:t>
      </w:r>
      <w:r w:rsidR="00895698">
        <w:rPr>
          <w:rFonts w:cs="Calibri"/>
          <w:lang w:eastAsia="en-IE"/>
        </w:rPr>
        <w:t xml:space="preserve">visit - </w:t>
      </w:r>
      <w:r w:rsidR="00090051" w:rsidRPr="00B74417">
        <w:rPr>
          <w:rFonts w:cs="Calibri"/>
          <w:lang w:eastAsia="en-IE"/>
        </w:rPr>
        <w:t>to facilitate the farmers’ full understanding of the NMP, its implementation and fertiliser purchase planning.</w:t>
      </w:r>
    </w:p>
    <w:p w:rsidR="00090051" w:rsidRDefault="00090051" w:rsidP="002128CD">
      <w:pPr>
        <w:spacing w:after="0" w:line="240" w:lineRule="auto"/>
        <w:ind w:left="720"/>
        <w:jc w:val="both"/>
        <w:rPr>
          <w:rFonts w:cs="Calibri"/>
          <w:u w:val="single"/>
          <w:lang w:eastAsia="en-IE"/>
        </w:rPr>
      </w:pPr>
    </w:p>
    <w:p w:rsidR="00090051" w:rsidRDefault="00090051" w:rsidP="002128CD">
      <w:pPr>
        <w:spacing w:after="0" w:line="240" w:lineRule="auto"/>
        <w:jc w:val="both"/>
        <w:rPr>
          <w:rFonts w:cs="Calibri"/>
          <w:u w:val="single"/>
          <w:lang w:eastAsia="en-IE"/>
        </w:rPr>
      </w:pPr>
      <w:r w:rsidRPr="00F168A9">
        <w:rPr>
          <w:rFonts w:cs="Calibri"/>
          <w:lang w:eastAsia="en-IE"/>
        </w:rPr>
        <w:t>2) The Review Group recommends that a co</w:t>
      </w:r>
      <w:r w:rsidR="00895698">
        <w:rPr>
          <w:rFonts w:cs="Calibri"/>
          <w:lang w:eastAsia="en-IE"/>
        </w:rPr>
        <w:t>llaborative approach involving S</w:t>
      </w:r>
      <w:r w:rsidRPr="00F168A9">
        <w:rPr>
          <w:rFonts w:cs="Calibri"/>
          <w:lang w:eastAsia="en-IE"/>
        </w:rPr>
        <w:t>tate agencies and the farming sector be adopted aimed at bringing about behavioural change within the farming sector in order to achieve sustainable farming practices and positive environmental outcomes.  The view of the Review Group is that the most significant potential for improving implementation at farm level lies in adopting a collaborative approach.  To support this collaborative approach</w:t>
      </w:r>
      <w:r w:rsidR="00895698">
        <w:rPr>
          <w:rFonts w:cs="Calibri"/>
          <w:lang w:eastAsia="en-IE"/>
        </w:rPr>
        <w:t>,</w:t>
      </w:r>
      <w:r w:rsidRPr="00F168A9">
        <w:rPr>
          <w:rFonts w:cs="Calibri"/>
          <w:lang w:eastAsia="en-IE"/>
        </w:rPr>
        <w:t xml:space="preserve"> the Review Group further recommends that </w:t>
      </w:r>
      <w:r w:rsidR="00747A3D">
        <w:rPr>
          <w:rFonts w:cs="Calibri"/>
          <w:lang w:eastAsia="en-IE"/>
        </w:rPr>
        <w:t xml:space="preserve">consideration be given to the establishment of </w:t>
      </w:r>
      <w:r w:rsidRPr="00F168A9">
        <w:rPr>
          <w:rFonts w:cs="Calibri"/>
          <w:lang w:eastAsia="en-IE"/>
        </w:rPr>
        <w:t>a dedicated unit of sustainability advisors to provide one-to-one technical advice to farmers so as to effect behavioural change within the farming sector towards more sustainable farming practices.  The risk assessments carried out by the EPA and the prioritisation of catchments by local authorities for further action undertaken as part of the preparation of the second cycle river basin management plan will provide a good starting point for targeting sustainability advisory support in catchments, where needed.</w:t>
      </w:r>
    </w:p>
    <w:p w:rsidR="00090051" w:rsidRDefault="00090051" w:rsidP="002128CD">
      <w:pPr>
        <w:spacing w:after="0" w:line="240" w:lineRule="auto"/>
        <w:jc w:val="both"/>
        <w:rPr>
          <w:rFonts w:cs="Calibri"/>
          <w:u w:val="single"/>
          <w:lang w:eastAsia="en-IE"/>
        </w:rPr>
      </w:pPr>
    </w:p>
    <w:p w:rsidR="00090051" w:rsidRDefault="00090051" w:rsidP="002128CD">
      <w:pPr>
        <w:spacing w:line="240" w:lineRule="auto"/>
        <w:jc w:val="both"/>
      </w:pPr>
      <w:r>
        <w:t xml:space="preserve">The Irish Nitrates Action Programme (NAP) is recognised across the EU as one of the most comprehensive and robust </w:t>
      </w:r>
      <w:r w:rsidR="00895698">
        <w:t>national programmes across the U</w:t>
      </w:r>
      <w:r>
        <w:t>nion.  However, despite significant initial improvements in water quality in response to the NAP since its commencement in 2006</w:t>
      </w:r>
      <w:r w:rsidR="00681089">
        <w:t>,</w:t>
      </w:r>
      <w:r>
        <w:t xml:space="preserve"> </w:t>
      </w:r>
      <w:r>
        <w:lastRenderedPageBreak/>
        <w:t xml:space="preserve">further improvements have not been observed within the past six years.  In addition compliance levels among farm holdings have not improved since the introduction of the NAP.  Against this background the implementation of the Foodwise 2025 strategy requires careful guidance to ensure sustainable intensification occurs. Almost 7,000 farmers (predominantly dairy) avail of the Nitrates derogation. This allows them to farm at a more intensive stocking rate than normally allowed and is critical to achieving the targets set out in the </w:t>
      </w:r>
      <w:r w:rsidRPr="00A511EB">
        <w:t>Foodwise 2025 strategy</w:t>
      </w:r>
      <w:r>
        <w:t xml:space="preserve"> as well as ensuring the processing investment by industry will be paid back. Any future declines in water quality will threaten the possibility of future derogations being granted under the Nitrates Directive.  </w:t>
      </w:r>
      <w:r w:rsidRPr="00F168A9">
        <w:t>Furthermore, e</w:t>
      </w:r>
      <w:r w:rsidRPr="00F168A9">
        <w:rPr>
          <w:rFonts w:cs="Calibri"/>
          <w:lang w:eastAsia="en-IE"/>
        </w:rPr>
        <w:t xml:space="preserve">vidence from the ACP suggests that there is poor understanding of the Good Agricultural Practices (GAP) regulations and that more direct one-to-one advisory support is needed to assist farmers to understand and comply with the regulations.  </w:t>
      </w:r>
      <w:r w:rsidRPr="00F168A9">
        <w:t>A more innovative approach, such</w:t>
      </w:r>
      <w:r>
        <w:t xml:space="preserve"> as the one proposed, is now needed to effectively protect and restore waters as required by the Nitrates Directive and Water Framework Directive, to protect Ireland’s prospects of future derogations under the Nitrates Directive and to ensure the FW2025 targets of sustainable intensification are achieved.</w:t>
      </w:r>
    </w:p>
    <w:p w:rsidR="00090051" w:rsidRPr="00F168A9" w:rsidRDefault="00090051" w:rsidP="002128CD">
      <w:pPr>
        <w:spacing w:after="0" w:line="240" w:lineRule="auto"/>
        <w:jc w:val="both"/>
        <w:rPr>
          <w:rFonts w:cs="Calibri"/>
          <w:lang w:eastAsia="en-IE"/>
        </w:rPr>
      </w:pPr>
      <w:r w:rsidRPr="00F168A9">
        <w:rPr>
          <w:rFonts w:cs="Calibri"/>
          <w:lang w:eastAsia="en-IE"/>
        </w:rPr>
        <w:t xml:space="preserve">To facilitate the collaborative approach it is proposed that Article 30(5) of the GAP regulations will be amended to provide that the Minister for Housing, Planning and Local Government will establish an environmental inspection protocol for farm holdings to be followed by local authorities in consultation with the Minister for Agriculture, Food and the Marine and other parties, as appropriate. </w:t>
      </w:r>
    </w:p>
    <w:p w:rsidR="002128CD" w:rsidRDefault="002128CD" w:rsidP="00090051">
      <w:pPr>
        <w:spacing w:after="0" w:line="240" w:lineRule="auto"/>
        <w:rPr>
          <w:rFonts w:cs="Calibri"/>
          <w:b/>
          <w:u w:val="single"/>
        </w:rPr>
      </w:pPr>
    </w:p>
    <w:p w:rsidR="00090051" w:rsidRPr="00CF7ED6" w:rsidRDefault="00090051" w:rsidP="00090051">
      <w:pPr>
        <w:spacing w:after="0" w:line="240" w:lineRule="auto"/>
        <w:rPr>
          <w:rFonts w:cs="Calibri"/>
          <w:b/>
          <w:u w:val="single"/>
        </w:rPr>
      </w:pPr>
      <w:r w:rsidRPr="00CF7ED6">
        <w:rPr>
          <w:rFonts w:cs="Calibri"/>
          <w:b/>
          <w:u w:val="single"/>
        </w:rPr>
        <w:t>3.6 Adjustment to nutrient allowances and timing of application</w:t>
      </w:r>
    </w:p>
    <w:p w:rsidR="00090051" w:rsidRDefault="00090051" w:rsidP="00090051">
      <w:pPr>
        <w:spacing w:after="0" w:line="240" w:lineRule="auto"/>
        <w:rPr>
          <w:rFonts w:cs="Calibri"/>
          <w:b/>
        </w:rPr>
      </w:pPr>
    </w:p>
    <w:p w:rsidR="00090051" w:rsidRDefault="00090051" w:rsidP="00090051">
      <w:pPr>
        <w:spacing w:after="0" w:line="240" w:lineRule="auto"/>
        <w:rPr>
          <w:rFonts w:cs="Calibri"/>
          <w:b/>
        </w:rPr>
      </w:pPr>
      <w:r>
        <w:rPr>
          <w:rFonts w:cs="Calibri"/>
          <w:b/>
        </w:rPr>
        <w:t>3.6.1 Phosphorus (P) application timing on winter cereals</w:t>
      </w:r>
    </w:p>
    <w:p w:rsidR="00090051" w:rsidRDefault="00090051" w:rsidP="00090051">
      <w:pPr>
        <w:spacing w:after="0" w:line="240" w:lineRule="auto"/>
        <w:rPr>
          <w:rFonts w:cs="Calibri"/>
        </w:rPr>
      </w:pPr>
    </w:p>
    <w:p w:rsidR="00090051" w:rsidRDefault="00090051" w:rsidP="002128CD">
      <w:pPr>
        <w:spacing w:after="0" w:line="240" w:lineRule="auto"/>
        <w:jc w:val="both"/>
        <w:rPr>
          <w:rFonts w:cs="Calibri"/>
        </w:rPr>
      </w:pPr>
      <w:r w:rsidRPr="00485BA3">
        <w:rPr>
          <w:rFonts w:cs="Calibri"/>
        </w:rPr>
        <w:t xml:space="preserve">Chemical P applications are currently prohibited after 15 </w:t>
      </w:r>
      <w:r w:rsidR="00895698">
        <w:rPr>
          <w:rFonts w:cs="Calibri"/>
        </w:rPr>
        <w:t>September.  H</w:t>
      </w:r>
      <w:r>
        <w:rPr>
          <w:rFonts w:cs="Calibri"/>
        </w:rPr>
        <w:t>owever</w:t>
      </w:r>
      <w:r w:rsidR="00895698">
        <w:rPr>
          <w:rFonts w:cs="Calibri"/>
        </w:rPr>
        <w:t>,</w:t>
      </w:r>
      <w:r>
        <w:rPr>
          <w:rFonts w:cs="Calibri"/>
        </w:rPr>
        <w:t xml:space="preserve"> most winter cereal crops are sown after this date and it is not possible to incorporate chemical P into the soil when planting takes place after 15</w:t>
      </w:r>
      <w:r w:rsidR="00085E69">
        <w:rPr>
          <w:rFonts w:cs="Calibri"/>
        </w:rPr>
        <w:t xml:space="preserve"> September.  </w:t>
      </w:r>
      <w:r>
        <w:rPr>
          <w:rFonts w:cs="Calibri"/>
        </w:rPr>
        <w:t>This is likely to restrict early growth of the crop during the following season, particularly where P levels are sub-optimal (index 1 or 2). Research has found that where the P was applied with the seed at sowing on low P soils, crop yield and P use efficiency was increased compared to surface applications after sowing. The Review Group recommends that for winter cereals on soils with P index is 1 or 2, an application of 20 kg/ha P would be permitted.  This is to be incorporated into the soil at or before the sowing time up to 31 October. This proposal does not entail any change in P allowance, only a change in the timing of incorporation.</w:t>
      </w:r>
    </w:p>
    <w:p w:rsidR="00090051" w:rsidRPr="00485BA3" w:rsidRDefault="00090051" w:rsidP="00090051">
      <w:pPr>
        <w:spacing w:after="0" w:line="240" w:lineRule="auto"/>
        <w:rPr>
          <w:rFonts w:cs="Calibri"/>
        </w:rPr>
      </w:pPr>
    </w:p>
    <w:p w:rsidR="00090051" w:rsidRPr="00BC4313" w:rsidRDefault="00090051" w:rsidP="00090051">
      <w:pPr>
        <w:spacing w:after="0" w:line="240" w:lineRule="auto"/>
        <w:rPr>
          <w:rFonts w:cs="Calibri"/>
          <w:b/>
        </w:rPr>
      </w:pPr>
      <w:r w:rsidRPr="00BC4313">
        <w:rPr>
          <w:rFonts w:cs="Calibri"/>
          <w:b/>
        </w:rPr>
        <w:t>3.6.2 Nitrogen (N) and Phosphorus (P) limits for potato crops</w:t>
      </w:r>
    </w:p>
    <w:p w:rsidR="00090051" w:rsidRDefault="00090051" w:rsidP="00090051">
      <w:pPr>
        <w:spacing w:after="0" w:line="240" w:lineRule="auto"/>
        <w:rPr>
          <w:rFonts w:cs="Calibri"/>
        </w:rPr>
      </w:pPr>
    </w:p>
    <w:p w:rsidR="00090051" w:rsidRDefault="00090051" w:rsidP="002128CD">
      <w:pPr>
        <w:spacing w:after="0" w:line="240" w:lineRule="auto"/>
        <w:jc w:val="both"/>
        <w:rPr>
          <w:rFonts w:cs="Calibri"/>
        </w:rPr>
      </w:pPr>
      <w:r>
        <w:rPr>
          <w:rFonts w:cs="Calibri"/>
        </w:rPr>
        <w:t xml:space="preserve">As a result of the introduction of new potato varieties and potato groups, more specific N advice is required to meet the crop N requirements and also market requirements in terms of tuber quality and end use. Teagasc fertiliser N advice for potatoes had not been altered in the previous two reviews of the ‘Green Book’ </w:t>
      </w:r>
      <w:r w:rsidR="00F168A9" w:rsidRPr="00F168A9">
        <w:rPr>
          <w:rFonts w:cs="Calibri"/>
        </w:rPr>
        <w:t>(Major &amp; Micro Nutrient Advice for Productive Agricultural Crops) which contains crop nutrient advice.</w:t>
      </w:r>
      <w:r>
        <w:rPr>
          <w:rFonts w:cs="Calibri"/>
        </w:rPr>
        <w:t xml:space="preserve"> </w:t>
      </w:r>
    </w:p>
    <w:p w:rsidR="00090051" w:rsidRDefault="00090051" w:rsidP="002128CD">
      <w:pPr>
        <w:spacing w:after="0" w:line="240" w:lineRule="auto"/>
        <w:jc w:val="both"/>
        <w:rPr>
          <w:rFonts w:cs="Calibri"/>
        </w:rPr>
      </w:pPr>
    </w:p>
    <w:p w:rsidR="00090051" w:rsidRDefault="00090051" w:rsidP="002128CD">
      <w:pPr>
        <w:spacing w:after="0" w:line="240" w:lineRule="auto"/>
        <w:jc w:val="both"/>
        <w:rPr>
          <w:rFonts w:cs="Calibri"/>
        </w:rPr>
      </w:pPr>
      <w:r>
        <w:rPr>
          <w:rFonts w:cs="Calibri"/>
        </w:rPr>
        <w:t>Over recent years N trials have been conducted on new and existing potato varieties with more limited research work for new potato groups such as salad potatoes.  In the recent review of the ‘Green Book’ 4</w:t>
      </w:r>
      <w:r>
        <w:rPr>
          <w:rFonts w:cs="Calibri"/>
          <w:vertAlign w:val="superscript"/>
        </w:rPr>
        <w:t>th</w:t>
      </w:r>
      <w:r>
        <w:rPr>
          <w:rFonts w:cs="Calibri"/>
        </w:rPr>
        <w:t xml:space="preserve"> edition these trial results have been aligned with recommendations in the UK fertiliser manual RB209 resulting in updated potato N advice. This new advice system now classifies varieties into four groups based on haulm longevity and gives more specific N advice based on the length of the growing season and crop maturity to meet specific market/ processing requirements. </w:t>
      </w:r>
      <w:r>
        <w:rPr>
          <w:rFonts w:cs="Calibri"/>
        </w:rPr>
        <w:lastRenderedPageBreak/>
        <w:t>The Review Group recommends that the allowable N and P limits are brought in line with the recommendations as per the Teagasc Green Book 4</w:t>
      </w:r>
      <w:r>
        <w:rPr>
          <w:rFonts w:cs="Calibri"/>
          <w:vertAlign w:val="superscript"/>
        </w:rPr>
        <w:t xml:space="preserve">th </w:t>
      </w:r>
      <w:r>
        <w:rPr>
          <w:rFonts w:cs="Calibri"/>
        </w:rPr>
        <w:t>edition 2016.</w:t>
      </w:r>
    </w:p>
    <w:p w:rsidR="00090051" w:rsidRDefault="00090051" w:rsidP="00090051">
      <w:pPr>
        <w:spacing w:after="0" w:line="240" w:lineRule="auto"/>
        <w:rPr>
          <w:rFonts w:cs="Calibri"/>
          <w:b/>
        </w:rPr>
      </w:pPr>
    </w:p>
    <w:p w:rsidR="00090051" w:rsidRPr="00A56830" w:rsidRDefault="00090051" w:rsidP="00090051">
      <w:pPr>
        <w:spacing w:after="0" w:line="240" w:lineRule="auto"/>
        <w:rPr>
          <w:rFonts w:cs="Calibri"/>
          <w:b/>
        </w:rPr>
      </w:pPr>
      <w:r>
        <w:rPr>
          <w:rFonts w:cs="Calibri"/>
          <w:b/>
        </w:rPr>
        <w:t>3.6</w:t>
      </w:r>
      <w:r w:rsidRPr="00A56830">
        <w:rPr>
          <w:rFonts w:cs="Calibri"/>
          <w:b/>
        </w:rPr>
        <w:t xml:space="preserve">.3 Nitrogen </w:t>
      </w:r>
      <w:r>
        <w:rPr>
          <w:rFonts w:cs="Calibri"/>
          <w:b/>
        </w:rPr>
        <w:t xml:space="preserve">(N) </w:t>
      </w:r>
      <w:r w:rsidRPr="00A56830">
        <w:rPr>
          <w:rFonts w:cs="Calibri"/>
          <w:b/>
        </w:rPr>
        <w:t>and Phosphorus</w:t>
      </w:r>
      <w:r>
        <w:rPr>
          <w:rFonts w:cs="Calibri"/>
          <w:b/>
        </w:rPr>
        <w:t xml:space="preserve"> (P)</w:t>
      </w:r>
      <w:r w:rsidRPr="00A56830">
        <w:rPr>
          <w:rFonts w:cs="Calibri"/>
          <w:b/>
        </w:rPr>
        <w:t xml:space="preserve"> limits for vegetable crops</w:t>
      </w:r>
    </w:p>
    <w:p w:rsidR="00090051" w:rsidRDefault="00090051" w:rsidP="00090051">
      <w:pPr>
        <w:spacing w:after="0" w:line="240" w:lineRule="auto"/>
        <w:rPr>
          <w:rFonts w:cs="Calibri"/>
        </w:rPr>
      </w:pPr>
    </w:p>
    <w:p w:rsidR="00090051" w:rsidRDefault="00090051" w:rsidP="002128CD">
      <w:pPr>
        <w:spacing w:after="0" w:line="240" w:lineRule="auto"/>
        <w:jc w:val="both"/>
        <w:rPr>
          <w:rFonts w:cs="Calibri"/>
        </w:rPr>
      </w:pPr>
      <w:r>
        <w:rPr>
          <w:rFonts w:cs="Calibri"/>
        </w:rPr>
        <w:t>It was noted that Irish fertiliser recommendations for vegeta</w:t>
      </w:r>
      <w:r w:rsidR="00CA1EB3">
        <w:rPr>
          <w:rFonts w:cs="Calibri"/>
        </w:rPr>
        <w:t>ble crops date back to the 1960</w:t>
      </w:r>
      <w:r>
        <w:rPr>
          <w:rFonts w:cs="Calibri"/>
        </w:rPr>
        <w:t>s and anomalies have arisen in these recommendations which need to be addressed for agronomic and environmental reasons. For most of these horticultural crops many of these anomalies relate to potassium (K) due to changes in the K index on 2002. In addition the P recommendations require to be changed for some crops, for example the current P advice for vegetable crops on high P soils needs to be reduced for agronomical and environmental reasons.</w:t>
      </w:r>
      <w:r w:rsidRPr="00C831FA">
        <w:rPr>
          <w:rFonts w:cs="Calibri"/>
        </w:rPr>
        <w:t xml:space="preserve"> </w:t>
      </w:r>
      <w:r>
        <w:rPr>
          <w:rFonts w:cs="Calibri"/>
        </w:rPr>
        <w:t>The Review Group recommends that the allowable N and P limits for vegetable crops are brought in line with the recommendations as per the Teagasc Green Book 4</w:t>
      </w:r>
      <w:r>
        <w:rPr>
          <w:rFonts w:cs="Calibri"/>
          <w:vertAlign w:val="superscript"/>
        </w:rPr>
        <w:t xml:space="preserve">th </w:t>
      </w:r>
      <w:r>
        <w:rPr>
          <w:rFonts w:cs="Calibri"/>
        </w:rPr>
        <w:t>edition 2016.</w:t>
      </w:r>
    </w:p>
    <w:p w:rsidR="00090051" w:rsidRDefault="00090051" w:rsidP="00090051">
      <w:pPr>
        <w:spacing w:after="0" w:line="240" w:lineRule="auto"/>
        <w:rPr>
          <w:rFonts w:cs="Calibri"/>
          <w:b/>
          <w:u w:val="single"/>
        </w:rPr>
      </w:pPr>
    </w:p>
    <w:p w:rsidR="00090051" w:rsidRDefault="00090051" w:rsidP="00090051">
      <w:pPr>
        <w:spacing w:after="0" w:line="240" w:lineRule="auto"/>
        <w:rPr>
          <w:rFonts w:cs="Calibri"/>
          <w:b/>
          <w:u w:val="single"/>
        </w:rPr>
      </w:pPr>
      <w:r w:rsidRPr="00D2097C">
        <w:rPr>
          <w:rFonts w:cs="Calibri"/>
          <w:b/>
          <w:u w:val="single"/>
        </w:rPr>
        <w:t xml:space="preserve">3.7 </w:t>
      </w:r>
      <w:r>
        <w:rPr>
          <w:rFonts w:cs="Calibri"/>
          <w:b/>
          <w:u w:val="single"/>
        </w:rPr>
        <w:t>Setback distances for the prevention of water pollution from fertilisers</w:t>
      </w:r>
    </w:p>
    <w:p w:rsidR="00085E69" w:rsidRPr="00D2097C" w:rsidRDefault="00085E69" w:rsidP="00090051">
      <w:pPr>
        <w:spacing w:after="0" w:line="240" w:lineRule="auto"/>
        <w:rPr>
          <w:rFonts w:cs="Calibri"/>
          <w:b/>
          <w:u w:val="single"/>
        </w:rPr>
      </w:pPr>
    </w:p>
    <w:p w:rsidR="00090051" w:rsidRDefault="00090051" w:rsidP="002128CD">
      <w:pPr>
        <w:spacing w:after="0" w:line="240" w:lineRule="auto"/>
        <w:jc w:val="both"/>
        <w:rPr>
          <w:rFonts w:cs="Calibri"/>
        </w:rPr>
      </w:pPr>
      <w:r>
        <w:rPr>
          <w:rFonts w:cs="Calibri"/>
        </w:rPr>
        <w:t>The Review Group recommends that amendments be made to Article 17 clarifying the roles of Irish Water and local authorities in relation to the establishment of alternative setback distances to the default ones specified based on technical assessment.</w:t>
      </w:r>
    </w:p>
    <w:p w:rsidR="00090051" w:rsidRDefault="00090051" w:rsidP="00090051">
      <w:pPr>
        <w:spacing w:after="0" w:line="240" w:lineRule="auto"/>
        <w:rPr>
          <w:rFonts w:cs="Calibri"/>
          <w:b/>
          <w:u w:val="single"/>
        </w:rPr>
      </w:pPr>
    </w:p>
    <w:p w:rsidR="00265C34" w:rsidRDefault="008B76A3" w:rsidP="00090051">
      <w:pPr>
        <w:spacing w:after="0" w:line="240" w:lineRule="auto"/>
        <w:rPr>
          <w:rFonts w:cs="Calibri"/>
          <w:b/>
          <w:u w:val="single"/>
        </w:rPr>
      </w:pPr>
      <w:r w:rsidRPr="002128CD">
        <w:rPr>
          <w:rFonts w:cs="Calibri"/>
        </w:rPr>
        <w:t>The R</w:t>
      </w:r>
      <w:r w:rsidR="00265C34" w:rsidRPr="002128CD">
        <w:rPr>
          <w:rFonts w:cs="Calibri"/>
        </w:rPr>
        <w:t xml:space="preserve">eview Group considered other recommendations </w:t>
      </w:r>
      <w:r w:rsidR="00C94995" w:rsidRPr="002128CD">
        <w:rPr>
          <w:rFonts w:cs="Calibri"/>
        </w:rPr>
        <w:t xml:space="preserve">made to it </w:t>
      </w:r>
      <w:r w:rsidR="00265C34" w:rsidRPr="002128CD">
        <w:rPr>
          <w:rFonts w:cs="Calibri"/>
        </w:rPr>
        <w:t>on increasing buffer zones around water courses</w:t>
      </w:r>
      <w:r w:rsidR="00C94995" w:rsidRPr="002128CD">
        <w:rPr>
          <w:rFonts w:cs="Calibri"/>
        </w:rPr>
        <w:t>,</w:t>
      </w:r>
      <w:r w:rsidR="00265C34" w:rsidRPr="002128CD">
        <w:rPr>
          <w:rFonts w:cs="Calibri"/>
        </w:rPr>
        <w:t xml:space="preserve"> potable water and lakes.  The Group agreed that the</w:t>
      </w:r>
      <w:r w:rsidR="00085E69">
        <w:rPr>
          <w:rFonts w:cs="Calibri"/>
        </w:rPr>
        <w:t xml:space="preserve"> recommendations were unworkable.</w:t>
      </w:r>
    </w:p>
    <w:p w:rsidR="00090051" w:rsidRDefault="00090051" w:rsidP="00090051">
      <w:pPr>
        <w:spacing w:after="0" w:line="240" w:lineRule="auto"/>
        <w:rPr>
          <w:rFonts w:cs="Calibri"/>
          <w:b/>
          <w:u w:val="single"/>
        </w:rPr>
      </w:pPr>
    </w:p>
    <w:p w:rsidR="00090051" w:rsidRPr="00D2097C" w:rsidRDefault="00090051" w:rsidP="00090051">
      <w:pPr>
        <w:spacing w:after="0" w:line="240" w:lineRule="auto"/>
        <w:rPr>
          <w:rFonts w:cs="Calibri"/>
          <w:b/>
          <w:u w:val="single"/>
        </w:rPr>
      </w:pPr>
      <w:r w:rsidRPr="00D2097C">
        <w:rPr>
          <w:rFonts w:cs="Calibri"/>
          <w:b/>
          <w:u w:val="single"/>
        </w:rPr>
        <w:t>3.</w:t>
      </w:r>
      <w:r>
        <w:rPr>
          <w:rFonts w:cs="Calibri"/>
          <w:b/>
          <w:u w:val="single"/>
        </w:rPr>
        <w:t>8</w:t>
      </w:r>
      <w:r w:rsidRPr="00D2097C">
        <w:rPr>
          <w:rFonts w:cs="Calibri"/>
          <w:b/>
          <w:u w:val="single"/>
        </w:rPr>
        <w:t xml:space="preserve"> Minor changes to the regulation</w:t>
      </w:r>
      <w:r w:rsidR="00085E69">
        <w:rPr>
          <w:rFonts w:cs="Calibri"/>
          <w:b/>
          <w:u w:val="single"/>
        </w:rPr>
        <w:t>s</w:t>
      </w:r>
    </w:p>
    <w:p w:rsidR="00090051" w:rsidRDefault="00090051" w:rsidP="00090051">
      <w:pPr>
        <w:spacing w:after="0" w:line="240" w:lineRule="auto"/>
        <w:rPr>
          <w:rFonts w:cs="Calibri"/>
        </w:rPr>
      </w:pPr>
    </w:p>
    <w:p w:rsidR="00090051" w:rsidRDefault="00090051" w:rsidP="002128CD">
      <w:pPr>
        <w:spacing w:after="0" w:line="240" w:lineRule="auto"/>
        <w:jc w:val="both"/>
        <w:rPr>
          <w:rFonts w:cs="Calibri"/>
        </w:rPr>
      </w:pPr>
      <w:r>
        <w:rPr>
          <w:rFonts w:cs="Calibri"/>
        </w:rPr>
        <w:t xml:space="preserve">The Review Group recommends </w:t>
      </w:r>
      <w:r w:rsidR="00085E69">
        <w:rPr>
          <w:rFonts w:cs="Calibri"/>
        </w:rPr>
        <w:t>that the following minor changes be</w:t>
      </w:r>
      <w:r>
        <w:rPr>
          <w:rFonts w:cs="Calibri"/>
        </w:rPr>
        <w:t xml:space="preserve"> made – </w:t>
      </w:r>
    </w:p>
    <w:p w:rsidR="00090051" w:rsidRDefault="00090051" w:rsidP="00085E69">
      <w:pPr>
        <w:numPr>
          <w:ilvl w:val="0"/>
          <w:numId w:val="29"/>
        </w:numPr>
        <w:spacing w:after="0" w:line="240" w:lineRule="auto"/>
        <w:ind w:left="714" w:hanging="357"/>
        <w:jc w:val="both"/>
        <w:rPr>
          <w:rFonts w:cs="Calibri"/>
        </w:rPr>
      </w:pPr>
      <w:r>
        <w:rPr>
          <w:rFonts w:cs="Calibri"/>
        </w:rPr>
        <w:t>For the purpose of clarity, where there is reference made in the regulations to silage pits there will also be reference made to</w:t>
      </w:r>
      <w:r w:rsidRPr="0069240B">
        <w:rPr>
          <w:rFonts w:cs="Calibri"/>
        </w:rPr>
        <w:t xml:space="preserve"> </w:t>
      </w:r>
      <w:r>
        <w:rPr>
          <w:rFonts w:cs="Calibri"/>
        </w:rPr>
        <w:t>silage clamps.  This is intended to make it clear that the requirements relating to silage pits in the regulations also apply to silage clamps.</w:t>
      </w:r>
    </w:p>
    <w:p w:rsidR="00090051" w:rsidRDefault="00085E69" w:rsidP="00085E69">
      <w:pPr>
        <w:numPr>
          <w:ilvl w:val="0"/>
          <w:numId w:val="29"/>
        </w:numPr>
        <w:spacing w:after="0" w:line="240" w:lineRule="auto"/>
        <w:ind w:left="714" w:hanging="357"/>
        <w:jc w:val="both"/>
        <w:rPr>
          <w:rFonts w:cs="Calibri"/>
        </w:rPr>
      </w:pPr>
      <w:r>
        <w:rPr>
          <w:rFonts w:cs="Calibri"/>
        </w:rPr>
        <w:t>Article 17</w:t>
      </w:r>
      <w:r w:rsidR="00090051">
        <w:rPr>
          <w:rFonts w:cs="Calibri"/>
        </w:rPr>
        <w:t xml:space="preserve">(2)(d) will be amended to include turloughs likely to flood in addition to lake shoreline.  This is intended to ensure that setback distances </w:t>
      </w:r>
      <w:r w:rsidR="00090051" w:rsidRPr="00B27673">
        <w:rPr>
          <w:rFonts w:cs="Calibri"/>
        </w:rPr>
        <w:t>for the prevention of water pollution from fertilisers</w:t>
      </w:r>
      <w:r w:rsidR="00090051">
        <w:rPr>
          <w:rFonts w:cs="Calibri"/>
        </w:rPr>
        <w:t xml:space="preserve"> also apply to turloughs.</w:t>
      </w:r>
    </w:p>
    <w:p w:rsidR="005E69D8" w:rsidRDefault="005E69D8" w:rsidP="005E69D8">
      <w:pPr>
        <w:spacing w:after="0" w:line="240" w:lineRule="auto"/>
        <w:rPr>
          <w:rFonts w:cs="Calibri"/>
          <w:strike/>
        </w:rPr>
      </w:pPr>
    </w:p>
    <w:p w:rsidR="00414132" w:rsidRPr="00705477" w:rsidRDefault="00414132" w:rsidP="00CA1EB3">
      <w:pPr>
        <w:spacing w:line="240" w:lineRule="auto"/>
        <w:rPr>
          <w:rFonts w:cs="Calibri"/>
          <w:b/>
          <w:u w:val="single"/>
        </w:rPr>
      </w:pPr>
      <w:r>
        <w:rPr>
          <w:rFonts w:cs="Calibri"/>
          <w:b/>
          <w:u w:val="single"/>
        </w:rPr>
        <w:t>3.9 Prohibited</w:t>
      </w:r>
      <w:r w:rsidRPr="00705477">
        <w:rPr>
          <w:rFonts w:cs="Calibri"/>
          <w:b/>
          <w:u w:val="single"/>
        </w:rPr>
        <w:t xml:space="preserve"> periods for the </w:t>
      </w:r>
      <w:r>
        <w:rPr>
          <w:rFonts w:cs="Calibri"/>
          <w:b/>
          <w:u w:val="single"/>
        </w:rPr>
        <w:t>a</w:t>
      </w:r>
      <w:r w:rsidRPr="00705477">
        <w:rPr>
          <w:rFonts w:cs="Calibri"/>
          <w:b/>
          <w:u w:val="single"/>
        </w:rPr>
        <w:t xml:space="preserve">pplication of </w:t>
      </w:r>
      <w:r>
        <w:rPr>
          <w:rFonts w:cs="Calibri"/>
          <w:b/>
          <w:u w:val="single"/>
        </w:rPr>
        <w:t>f</w:t>
      </w:r>
      <w:r w:rsidRPr="00705477">
        <w:rPr>
          <w:rFonts w:cs="Calibri"/>
          <w:b/>
          <w:u w:val="single"/>
        </w:rPr>
        <w:t>ertilisers</w:t>
      </w:r>
    </w:p>
    <w:p w:rsidR="00414132" w:rsidRDefault="00414132" w:rsidP="00CA1EB3">
      <w:pPr>
        <w:spacing w:line="240" w:lineRule="auto"/>
        <w:jc w:val="both"/>
        <w:rPr>
          <w:rFonts w:cs="Calibri"/>
        </w:rPr>
      </w:pPr>
      <w:r w:rsidRPr="00446D8B">
        <w:rPr>
          <w:rFonts w:cs="Calibri"/>
        </w:rPr>
        <w:t xml:space="preserve">The two main issues raised </w:t>
      </w:r>
      <w:r>
        <w:rPr>
          <w:rFonts w:cs="Calibri"/>
        </w:rPr>
        <w:t>in submissions in relation to prohibited</w:t>
      </w:r>
      <w:r w:rsidRPr="00446D8B">
        <w:rPr>
          <w:rFonts w:cs="Calibri"/>
        </w:rPr>
        <w:t xml:space="preserve"> periods for the spreading o</w:t>
      </w:r>
      <w:r>
        <w:rPr>
          <w:rFonts w:cs="Calibri"/>
        </w:rPr>
        <w:t>f organic fertilisers were whether the prohibited</w:t>
      </w:r>
      <w:r w:rsidRPr="00446D8B">
        <w:rPr>
          <w:rFonts w:cs="Calibri"/>
        </w:rPr>
        <w:t xml:space="preserve"> period</w:t>
      </w:r>
      <w:r>
        <w:rPr>
          <w:rFonts w:cs="Calibri"/>
        </w:rPr>
        <w:t>s</w:t>
      </w:r>
      <w:r w:rsidRPr="00446D8B">
        <w:rPr>
          <w:rFonts w:cs="Calibri"/>
        </w:rPr>
        <w:t xml:space="preserve"> </w:t>
      </w:r>
      <w:r>
        <w:rPr>
          <w:rFonts w:cs="Calibri"/>
        </w:rPr>
        <w:t>are</w:t>
      </w:r>
      <w:r w:rsidRPr="00446D8B">
        <w:rPr>
          <w:rFonts w:cs="Calibri"/>
        </w:rPr>
        <w:t xml:space="preserve"> correct and if flexibility could be introduced in relation to the opening/closing of the period.  </w:t>
      </w:r>
    </w:p>
    <w:p w:rsidR="00414132" w:rsidRPr="006E7DD2" w:rsidRDefault="00414132" w:rsidP="00CA1EB3">
      <w:pPr>
        <w:spacing w:line="240" w:lineRule="auto"/>
        <w:jc w:val="both"/>
        <w:rPr>
          <w:rFonts w:cs="Calibri"/>
        </w:rPr>
      </w:pPr>
      <w:r w:rsidRPr="00446D8B">
        <w:rPr>
          <w:rFonts w:cs="Calibri"/>
        </w:rPr>
        <w:t>The N</w:t>
      </w:r>
      <w:r w:rsidR="00085E69">
        <w:rPr>
          <w:rFonts w:cs="Calibri"/>
        </w:rPr>
        <w:t>itrates Directive requires all Member S</w:t>
      </w:r>
      <w:r w:rsidRPr="00446D8B">
        <w:rPr>
          <w:rFonts w:cs="Calibri"/>
        </w:rPr>
        <w:t xml:space="preserve">tates to define periods when the land application of fertiliser is </w:t>
      </w:r>
      <w:r>
        <w:rPr>
          <w:rFonts w:cs="Calibri"/>
        </w:rPr>
        <w:t>prohibited</w:t>
      </w:r>
      <w:r w:rsidRPr="00446D8B">
        <w:rPr>
          <w:rFonts w:cs="Calibri"/>
        </w:rPr>
        <w:t xml:space="preserve"> and the Group noted that this must be regarded as a fundamental requirement</w:t>
      </w:r>
      <w:r>
        <w:rPr>
          <w:rFonts w:cs="Calibri"/>
        </w:rPr>
        <w:t xml:space="preserve"> of the Directive</w:t>
      </w:r>
      <w:r w:rsidRPr="00446D8B">
        <w:rPr>
          <w:rFonts w:cs="Calibri"/>
        </w:rPr>
        <w:t xml:space="preserve">.  </w:t>
      </w:r>
      <w:r>
        <w:rPr>
          <w:rFonts w:cs="Calibri"/>
        </w:rPr>
        <w:t xml:space="preserve"> In addition they noted that </w:t>
      </w:r>
      <w:r w:rsidRPr="00446D8B">
        <w:rPr>
          <w:rFonts w:cs="Calibri"/>
        </w:rPr>
        <w:t>recent data from the ACP support</w:t>
      </w:r>
      <w:r>
        <w:rPr>
          <w:rFonts w:cs="Calibri"/>
        </w:rPr>
        <w:t>s</w:t>
      </w:r>
      <w:r w:rsidRPr="00446D8B">
        <w:rPr>
          <w:rFonts w:cs="Calibri"/>
        </w:rPr>
        <w:t xml:space="preserve"> the current closed periods in Ireland</w:t>
      </w:r>
      <w:r w:rsidR="0077207D">
        <w:rPr>
          <w:rFonts w:cs="Calibri"/>
        </w:rPr>
        <w:t>.</w:t>
      </w:r>
      <w:r w:rsidRPr="00446D8B">
        <w:rPr>
          <w:rFonts w:cs="Calibri"/>
        </w:rPr>
        <w:t xml:space="preserve"> </w:t>
      </w:r>
    </w:p>
    <w:p w:rsidR="00A06CBE" w:rsidRPr="00085E69" w:rsidRDefault="00414132" w:rsidP="00CA1EB3">
      <w:pPr>
        <w:spacing w:line="240" w:lineRule="auto"/>
        <w:jc w:val="both"/>
        <w:rPr>
          <w:rFonts w:cs="Calibri"/>
        </w:rPr>
      </w:pPr>
      <w:r w:rsidRPr="00F0482C">
        <w:rPr>
          <w:rFonts w:cs="Calibri"/>
        </w:rPr>
        <w:t>In relation to flexibility, the Group were of the opinion that any changing or relaxation of closed periods would need to be supported by science.  Having considered all information available to it, the Group concluded that no scientific justification had been provided to support increased flexibility in the prohibited period</w:t>
      </w:r>
      <w:r w:rsidR="007A6158" w:rsidRPr="002128CD">
        <w:rPr>
          <w:rFonts w:cs="Calibri"/>
        </w:rPr>
        <w:t>.</w:t>
      </w:r>
      <w:r w:rsidRPr="00446D8B">
        <w:rPr>
          <w:rFonts w:cs="Calibri"/>
        </w:rPr>
        <w:t xml:space="preserve">  </w:t>
      </w:r>
    </w:p>
    <w:p w:rsidR="00090051" w:rsidRDefault="009262D2" w:rsidP="00CA1EB3">
      <w:pPr>
        <w:spacing w:after="0" w:line="240" w:lineRule="auto"/>
        <w:rPr>
          <w:rFonts w:cs="Calibri"/>
          <w:b/>
          <w:u w:val="single"/>
        </w:rPr>
      </w:pPr>
      <w:r>
        <w:rPr>
          <w:rFonts w:cs="Calibri"/>
          <w:b/>
          <w:u w:val="single"/>
        </w:rPr>
        <w:t>3.10 Proposals outside the scope of the NAP Regulations</w:t>
      </w:r>
    </w:p>
    <w:p w:rsidR="00A06CBE" w:rsidRDefault="00A06CBE" w:rsidP="00090051">
      <w:pPr>
        <w:spacing w:after="0" w:line="240" w:lineRule="auto"/>
        <w:rPr>
          <w:rFonts w:cs="Calibri"/>
          <w:b/>
          <w:u w:val="single"/>
        </w:rPr>
      </w:pPr>
    </w:p>
    <w:p w:rsidR="00A06CBE" w:rsidRDefault="00F37F12" w:rsidP="00090051">
      <w:pPr>
        <w:spacing w:after="0" w:line="240" w:lineRule="auto"/>
        <w:rPr>
          <w:rFonts w:cs="Calibri"/>
        </w:rPr>
      </w:pPr>
      <w:r>
        <w:rPr>
          <w:rFonts w:cs="Calibri"/>
        </w:rPr>
        <w:lastRenderedPageBreak/>
        <w:t>Whilst all submissions were given due consideration t</w:t>
      </w:r>
      <w:r w:rsidR="007A6158" w:rsidRPr="002128CD">
        <w:rPr>
          <w:rFonts w:cs="Calibri"/>
        </w:rPr>
        <w:t xml:space="preserve">he Expert Group concluded that </w:t>
      </w:r>
      <w:r>
        <w:rPr>
          <w:rFonts w:cs="Calibri"/>
        </w:rPr>
        <w:t>a certain number of</w:t>
      </w:r>
      <w:r w:rsidR="007A6158" w:rsidRPr="002128CD">
        <w:rPr>
          <w:rFonts w:cs="Calibri"/>
        </w:rPr>
        <w:t xml:space="preserve"> proposals were outside the </w:t>
      </w:r>
      <w:r>
        <w:rPr>
          <w:rFonts w:cs="Calibri"/>
        </w:rPr>
        <w:t>scope</w:t>
      </w:r>
      <w:r w:rsidR="007A6158" w:rsidRPr="002128CD">
        <w:rPr>
          <w:rFonts w:cs="Calibri"/>
        </w:rPr>
        <w:t xml:space="preserve"> of the NAP Regulations</w:t>
      </w:r>
      <w:r>
        <w:rPr>
          <w:rFonts w:cs="Calibri"/>
        </w:rPr>
        <w:t xml:space="preserve"> or in certain circumstances insufficient scientific evidence was provided to justify a change being made.</w:t>
      </w:r>
    </w:p>
    <w:p w:rsidR="00B02083" w:rsidRDefault="00B02083" w:rsidP="00090051">
      <w:pPr>
        <w:spacing w:after="0" w:line="240" w:lineRule="auto"/>
        <w:rPr>
          <w:rFonts w:cs="Calibri"/>
          <w:b/>
          <w:u w:val="single"/>
        </w:rPr>
      </w:pPr>
    </w:p>
    <w:p w:rsidR="00090051" w:rsidRDefault="00090051" w:rsidP="00090051">
      <w:pPr>
        <w:spacing w:after="0" w:line="240" w:lineRule="auto"/>
        <w:rPr>
          <w:rFonts w:cs="Calibri"/>
          <w:b/>
          <w:u w:val="single"/>
        </w:rPr>
      </w:pPr>
      <w:r w:rsidRPr="00BD67A2">
        <w:rPr>
          <w:rFonts w:cs="Calibri"/>
          <w:b/>
          <w:u w:val="single"/>
        </w:rPr>
        <w:t>4. Concluding Comments</w:t>
      </w:r>
    </w:p>
    <w:p w:rsidR="00090051" w:rsidRDefault="00090051" w:rsidP="00090051">
      <w:pPr>
        <w:spacing w:after="0" w:line="240" w:lineRule="auto"/>
        <w:rPr>
          <w:rFonts w:cs="Calibri"/>
        </w:rPr>
      </w:pPr>
    </w:p>
    <w:p w:rsidR="00090051" w:rsidRDefault="00090051" w:rsidP="002128CD">
      <w:pPr>
        <w:spacing w:after="0" w:line="240" w:lineRule="auto"/>
        <w:jc w:val="both"/>
        <w:rPr>
          <w:rFonts w:cs="Calibri"/>
        </w:rPr>
      </w:pPr>
      <w:r>
        <w:rPr>
          <w:rFonts w:cs="Calibri"/>
        </w:rPr>
        <w:t xml:space="preserve">The Review Group has examined all submissions received and made recommendations for change where the matter raised falls within the scope of the Nitrates Directive and where the Group considered it appropriate to propose a change on the merits of the </w:t>
      </w:r>
      <w:r w:rsidR="00F37F12">
        <w:rPr>
          <w:rFonts w:cs="Calibri"/>
        </w:rPr>
        <w:t xml:space="preserve">scientific evidence </w:t>
      </w:r>
      <w:r>
        <w:rPr>
          <w:rFonts w:cs="Calibri"/>
        </w:rPr>
        <w:t>presented.  A summary of the proposed changes is attached at Appendix 4.  Each proposal has been considered on its in</w:t>
      </w:r>
      <w:r w:rsidR="00085E69">
        <w:rPr>
          <w:rFonts w:cs="Calibri"/>
        </w:rPr>
        <w:t xml:space="preserve">dividual technical merit and in </w:t>
      </w:r>
      <w:r>
        <w:rPr>
          <w:rFonts w:cs="Calibri"/>
        </w:rPr>
        <w:t xml:space="preserve">combination with current climate change predictions.  </w:t>
      </w:r>
    </w:p>
    <w:p w:rsidR="00090051" w:rsidRDefault="00090051" w:rsidP="002128CD">
      <w:pPr>
        <w:spacing w:after="0" w:line="240" w:lineRule="auto"/>
        <w:jc w:val="both"/>
        <w:rPr>
          <w:rFonts w:cs="Calibri"/>
          <w:lang w:val="en-GB"/>
        </w:rPr>
      </w:pPr>
    </w:p>
    <w:p w:rsidR="00090051" w:rsidRPr="00085E69" w:rsidRDefault="00090051" w:rsidP="002128CD">
      <w:pPr>
        <w:spacing w:after="0" w:line="240" w:lineRule="auto"/>
        <w:jc w:val="both"/>
        <w:rPr>
          <w:rFonts w:ascii="Arial" w:hAnsi="Arial" w:cs="Arial"/>
          <w:sz w:val="24"/>
          <w:szCs w:val="24"/>
          <w:lang w:val="en-GB"/>
        </w:rPr>
      </w:pPr>
      <w:r w:rsidRPr="007A44F0">
        <w:rPr>
          <w:rFonts w:cs="Calibri"/>
          <w:lang w:val="en-GB"/>
        </w:rPr>
        <w:t>The proposed new action programme includes measures aimed at further strengthening the protection of water and attaining optimum soil fertility that is consistent with both efficient agricultural production and effective water quality protection</w:t>
      </w:r>
      <w:r w:rsidR="00085E69">
        <w:rPr>
          <w:rFonts w:ascii="Arial" w:hAnsi="Arial" w:cs="Arial"/>
          <w:sz w:val="24"/>
          <w:szCs w:val="24"/>
          <w:lang w:val="en-GB"/>
        </w:rPr>
        <w:t xml:space="preserve">.  </w:t>
      </w:r>
      <w:r>
        <w:rPr>
          <w:rFonts w:cs="Calibri"/>
        </w:rPr>
        <w:t>The new proposed measures focus on</w:t>
      </w:r>
      <w:r>
        <w:t xml:space="preserve"> intercepting and breaking nutrient transport pathways and preventing sediment and nutrient losses to waters, which is a major development on the 3</w:t>
      </w:r>
      <w:r w:rsidRPr="00F55ED6">
        <w:rPr>
          <w:vertAlign w:val="superscript"/>
        </w:rPr>
        <w:t>rd</w:t>
      </w:r>
      <w:r>
        <w:t xml:space="preserve"> NAP. </w:t>
      </w:r>
    </w:p>
    <w:p w:rsidR="00090051" w:rsidRPr="0056660A" w:rsidRDefault="00090051" w:rsidP="002128CD">
      <w:pPr>
        <w:spacing w:after="0" w:line="240" w:lineRule="auto"/>
        <w:jc w:val="both"/>
        <w:rPr>
          <w:rFonts w:cs="Calibri"/>
          <w:b/>
          <w:u w:val="single"/>
        </w:rPr>
      </w:pPr>
    </w:p>
    <w:p w:rsidR="00090051" w:rsidRDefault="00090051" w:rsidP="002128CD">
      <w:pPr>
        <w:spacing w:after="0" w:line="240" w:lineRule="auto"/>
        <w:jc w:val="both"/>
        <w:rPr>
          <w:rFonts w:cs="Calibri"/>
        </w:rPr>
      </w:pPr>
      <w:r>
        <w:rPr>
          <w:rFonts w:cs="Calibri"/>
        </w:rPr>
        <w:t xml:space="preserve">Other proposed changes to the NAP relate to technical modifications of the existing regulations which are based on more up-to-date research and/or information which was not available at the last review, or on practical experience gained during the implementation of the NAP to date.  </w:t>
      </w:r>
    </w:p>
    <w:p w:rsidR="00090051" w:rsidRDefault="00090051" w:rsidP="002128CD">
      <w:pPr>
        <w:spacing w:after="0" w:line="240" w:lineRule="auto"/>
        <w:jc w:val="both"/>
        <w:rPr>
          <w:rFonts w:cs="Calibri"/>
        </w:rPr>
      </w:pPr>
    </w:p>
    <w:p w:rsidR="00090051" w:rsidRDefault="00085E69" w:rsidP="002128CD">
      <w:pPr>
        <w:spacing w:after="0" w:line="240" w:lineRule="auto"/>
        <w:jc w:val="both"/>
      </w:pPr>
      <w:r>
        <w:t>The view of the Review G</w:t>
      </w:r>
      <w:r w:rsidR="00090051">
        <w:t>roup is that while t</w:t>
      </w:r>
      <w:r>
        <w:t>he above-</w:t>
      </w:r>
      <w:r w:rsidR="00090051">
        <w:t>mentioned changes represent important incremental improvements to the action programme</w:t>
      </w:r>
      <w:r>
        <w:t>,</w:t>
      </w:r>
      <w:r w:rsidR="00090051">
        <w:t xml:space="preserve"> the most significant potential for improving implementation at farm level and achieving further significant improvements in water quality lies in adopting a collaborative approach focussed on changing behaviours at farm level.</w:t>
      </w:r>
    </w:p>
    <w:p w:rsidR="00090051" w:rsidRDefault="00090051" w:rsidP="002128CD">
      <w:pPr>
        <w:spacing w:after="0" w:line="240" w:lineRule="auto"/>
        <w:jc w:val="both"/>
        <w:rPr>
          <w:rFonts w:cs="Calibri"/>
        </w:rPr>
      </w:pPr>
    </w:p>
    <w:p w:rsidR="00F168A9" w:rsidRDefault="00090051">
      <w:pPr>
        <w:spacing w:after="0" w:line="240" w:lineRule="auto"/>
        <w:rPr>
          <w:rFonts w:cs="Calibri"/>
          <w:b/>
          <w:u w:val="single"/>
        </w:rPr>
      </w:pPr>
      <w:r>
        <w:rPr>
          <w:rFonts w:cs="Calibri"/>
        </w:rPr>
        <w:t>The recommendations made represent the agreed common position of all the experts comprising the Group.</w:t>
      </w:r>
      <w:r w:rsidR="00F168A9">
        <w:rPr>
          <w:rFonts w:cs="Calibri"/>
          <w:b/>
          <w:u w:val="single"/>
        </w:rPr>
        <w:br w:type="page"/>
      </w:r>
    </w:p>
    <w:p w:rsidR="00085342" w:rsidRPr="007757D0" w:rsidRDefault="00B13F2E" w:rsidP="00001022">
      <w:pPr>
        <w:jc w:val="center"/>
        <w:rPr>
          <w:rFonts w:cs="Calibri"/>
          <w:u w:val="single"/>
        </w:rPr>
      </w:pPr>
      <w:r>
        <w:rPr>
          <w:rFonts w:cs="Calibri"/>
          <w:b/>
          <w:u w:val="single"/>
        </w:rPr>
        <w:lastRenderedPageBreak/>
        <w:t>A</w:t>
      </w:r>
      <w:r w:rsidR="00001022" w:rsidRPr="00001022">
        <w:rPr>
          <w:rFonts w:cs="Calibri"/>
          <w:b/>
          <w:u w:val="single"/>
        </w:rPr>
        <w:t xml:space="preserve">ppendix </w:t>
      </w:r>
      <w:r w:rsidR="00366C23" w:rsidRPr="00001022">
        <w:rPr>
          <w:rFonts w:cs="Calibri"/>
          <w:b/>
          <w:u w:val="single"/>
        </w:rPr>
        <w:t>1:</w:t>
      </w:r>
      <w:r w:rsidR="006D1283" w:rsidRPr="006D1283">
        <w:rPr>
          <w:rFonts w:cs="Calibri"/>
          <w:b/>
          <w:bCs/>
          <w:u w:val="single"/>
        </w:rPr>
        <w:t xml:space="preserve"> Nitrates Review Con</w:t>
      </w:r>
      <w:r w:rsidR="0019483A">
        <w:rPr>
          <w:rFonts w:cs="Calibri"/>
          <w:b/>
          <w:bCs/>
          <w:u w:val="single"/>
        </w:rPr>
        <w:t>sultation - Submissions Examined and Considered</w:t>
      </w:r>
    </w:p>
    <w:p w:rsidR="006D1283" w:rsidRDefault="007D4979" w:rsidP="00E010E4">
      <w:pPr>
        <w:numPr>
          <w:ilvl w:val="0"/>
          <w:numId w:val="31"/>
        </w:numPr>
        <w:spacing w:after="120"/>
        <w:rPr>
          <w:rFonts w:cs="Calibri"/>
          <w:bCs/>
        </w:rPr>
      </w:pPr>
      <w:r>
        <w:rPr>
          <w:rFonts w:cs="Calibri"/>
          <w:bCs/>
        </w:rPr>
        <w:t xml:space="preserve">Kildare </w:t>
      </w:r>
      <w:r w:rsidR="006D1283" w:rsidRPr="006D1283">
        <w:rPr>
          <w:rFonts w:cs="Calibri"/>
          <w:bCs/>
        </w:rPr>
        <w:t>County Council</w:t>
      </w:r>
    </w:p>
    <w:p w:rsidR="00E010E4" w:rsidRDefault="007D4979" w:rsidP="006D1283">
      <w:pPr>
        <w:numPr>
          <w:ilvl w:val="0"/>
          <w:numId w:val="31"/>
        </w:numPr>
        <w:spacing w:after="120"/>
        <w:rPr>
          <w:rFonts w:cs="Calibri"/>
          <w:bCs/>
        </w:rPr>
      </w:pPr>
      <w:r w:rsidRPr="00E010E4">
        <w:rPr>
          <w:rFonts w:cs="Calibri"/>
          <w:bCs/>
        </w:rPr>
        <w:t>Limerick</w:t>
      </w:r>
      <w:r w:rsidR="006D1283" w:rsidRPr="00E010E4">
        <w:rPr>
          <w:rFonts w:cs="Calibri"/>
          <w:bCs/>
        </w:rPr>
        <w:t xml:space="preserve"> County Council</w:t>
      </w:r>
    </w:p>
    <w:p w:rsidR="00E010E4" w:rsidRDefault="007D4979" w:rsidP="006D1283">
      <w:pPr>
        <w:numPr>
          <w:ilvl w:val="0"/>
          <w:numId w:val="31"/>
        </w:numPr>
        <w:spacing w:after="120"/>
        <w:rPr>
          <w:rFonts w:cs="Calibri"/>
          <w:bCs/>
        </w:rPr>
      </w:pPr>
      <w:r w:rsidRPr="00E010E4">
        <w:rPr>
          <w:rFonts w:cs="Calibri"/>
          <w:bCs/>
        </w:rPr>
        <w:t>Offaly</w:t>
      </w:r>
      <w:r w:rsidR="006D1283" w:rsidRPr="00E010E4">
        <w:rPr>
          <w:rFonts w:cs="Calibri"/>
          <w:bCs/>
        </w:rPr>
        <w:t xml:space="preserve"> County Council</w:t>
      </w:r>
    </w:p>
    <w:p w:rsidR="00E010E4" w:rsidRDefault="00E010E4" w:rsidP="006D1283">
      <w:pPr>
        <w:numPr>
          <w:ilvl w:val="0"/>
          <w:numId w:val="31"/>
        </w:numPr>
        <w:spacing w:after="120"/>
        <w:rPr>
          <w:rFonts w:cs="Calibri"/>
          <w:bCs/>
        </w:rPr>
      </w:pPr>
      <w:r>
        <w:rPr>
          <w:rFonts w:cs="Calibri"/>
          <w:bCs/>
        </w:rPr>
        <w:t>M</w:t>
      </w:r>
      <w:r w:rsidR="006D1283" w:rsidRPr="00E010E4">
        <w:rPr>
          <w:rFonts w:cs="Calibri"/>
          <w:bCs/>
        </w:rPr>
        <w:t>onaghan County Council</w:t>
      </w:r>
    </w:p>
    <w:p w:rsidR="00E010E4" w:rsidRDefault="007D4979" w:rsidP="006D1283">
      <w:pPr>
        <w:numPr>
          <w:ilvl w:val="0"/>
          <w:numId w:val="31"/>
        </w:numPr>
        <w:spacing w:after="120"/>
        <w:rPr>
          <w:rFonts w:cs="Calibri"/>
          <w:bCs/>
        </w:rPr>
      </w:pPr>
      <w:r w:rsidRPr="00E010E4">
        <w:rPr>
          <w:rFonts w:cs="Calibri"/>
          <w:bCs/>
        </w:rPr>
        <w:t>Cavan County Council</w:t>
      </w:r>
    </w:p>
    <w:p w:rsidR="00E010E4" w:rsidRDefault="00E010E4" w:rsidP="006D1283">
      <w:pPr>
        <w:numPr>
          <w:ilvl w:val="0"/>
          <w:numId w:val="31"/>
        </w:numPr>
        <w:spacing w:after="120"/>
        <w:rPr>
          <w:rFonts w:cs="Calibri"/>
          <w:bCs/>
        </w:rPr>
      </w:pPr>
      <w:r w:rsidRPr="00E010E4">
        <w:rPr>
          <w:rFonts w:cs="Calibri"/>
          <w:bCs/>
        </w:rPr>
        <w:t>R</w:t>
      </w:r>
      <w:r w:rsidR="006D1283" w:rsidRPr="00E010E4">
        <w:rPr>
          <w:rFonts w:cs="Calibri"/>
          <w:bCs/>
        </w:rPr>
        <w:t>ichard Greene</w:t>
      </w:r>
    </w:p>
    <w:p w:rsidR="00E010E4" w:rsidRDefault="006D1283" w:rsidP="006D1283">
      <w:pPr>
        <w:numPr>
          <w:ilvl w:val="0"/>
          <w:numId w:val="31"/>
        </w:numPr>
        <w:spacing w:after="120"/>
        <w:rPr>
          <w:rFonts w:cs="Calibri"/>
          <w:bCs/>
        </w:rPr>
      </w:pPr>
      <w:r w:rsidRPr="00E010E4">
        <w:rPr>
          <w:rFonts w:cs="Calibri"/>
          <w:bCs/>
        </w:rPr>
        <w:t>Inland Fisheries Ireland</w:t>
      </w:r>
    </w:p>
    <w:p w:rsidR="00E010E4" w:rsidRDefault="007D4979" w:rsidP="006D1283">
      <w:pPr>
        <w:numPr>
          <w:ilvl w:val="0"/>
          <w:numId w:val="31"/>
        </w:numPr>
        <w:spacing w:after="120"/>
        <w:rPr>
          <w:rFonts w:cs="Calibri"/>
          <w:bCs/>
        </w:rPr>
      </w:pPr>
      <w:r w:rsidRPr="00E010E4">
        <w:rPr>
          <w:rFonts w:cs="Calibri"/>
          <w:bCs/>
        </w:rPr>
        <w:t xml:space="preserve">Irish Water </w:t>
      </w:r>
    </w:p>
    <w:p w:rsidR="00E010E4" w:rsidRDefault="006D1283" w:rsidP="006D1283">
      <w:pPr>
        <w:numPr>
          <w:ilvl w:val="0"/>
          <w:numId w:val="31"/>
        </w:numPr>
        <w:spacing w:after="120"/>
        <w:rPr>
          <w:rFonts w:cs="Calibri"/>
          <w:bCs/>
        </w:rPr>
      </w:pPr>
      <w:r w:rsidRPr="00E010E4">
        <w:rPr>
          <w:rFonts w:cs="Calibri"/>
          <w:bCs/>
        </w:rPr>
        <w:t>The Mulcair Group</w:t>
      </w:r>
    </w:p>
    <w:p w:rsidR="00E010E4" w:rsidRDefault="006D1283" w:rsidP="006D1283">
      <w:pPr>
        <w:numPr>
          <w:ilvl w:val="0"/>
          <w:numId w:val="31"/>
        </w:numPr>
        <w:spacing w:after="120"/>
        <w:rPr>
          <w:rFonts w:cs="Calibri"/>
          <w:bCs/>
        </w:rPr>
      </w:pPr>
      <w:r w:rsidRPr="00E010E4">
        <w:rPr>
          <w:rFonts w:cs="Calibri"/>
          <w:bCs/>
        </w:rPr>
        <w:t xml:space="preserve">SWAN </w:t>
      </w:r>
    </w:p>
    <w:p w:rsidR="00E010E4" w:rsidRDefault="006D1283" w:rsidP="006D1283">
      <w:pPr>
        <w:numPr>
          <w:ilvl w:val="0"/>
          <w:numId w:val="31"/>
        </w:numPr>
        <w:spacing w:after="120"/>
        <w:rPr>
          <w:rFonts w:cs="Calibri"/>
          <w:bCs/>
        </w:rPr>
      </w:pPr>
      <w:r w:rsidRPr="00E010E4">
        <w:rPr>
          <w:rFonts w:cs="Calibri"/>
          <w:bCs/>
        </w:rPr>
        <w:t>Fertilizer Association of Ireland</w:t>
      </w:r>
    </w:p>
    <w:p w:rsidR="00E010E4" w:rsidRDefault="006D1283" w:rsidP="006D1283">
      <w:pPr>
        <w:numPr>
          <w:ilvl w:val="0"/>
          <w:numId w:val="31"/>
        </w:numPr>
        <w:spacing w:after="120"/>
        <w:rPr>
          <w:rFonts w:cs="Calibri"/>
          <w:bCs/>
        </w:rPr>
      </w:pPr>
      <w:r w:rsidRPr="00E010E4">
        <w:rPr>
          <w:rFonts w:cs="Calibri"/>
          <w:bCs/>
        </w:rPr>
        <w:t>Cré</w:t>
      </w:r>
      <w:r w:rsidR="007D4979" w:rsidRPr="00E010E4">
        <w:rPr>
          <w:rFonts w:cs="Calibri"/>
          <w:bCs/>
        </w:rPr>
        <w:t xml:space="preserve">          </w:t>
      </w:r>
    </w:p>
    <w:p w:rsidR="00E010E4" w:rsidRDefault="006D1283" w:rsidP="006D1283">
      <w:pPr>
        <w:numPr>
          <w:ilvl w:val="0"/>
          <w:numId w:val="31"/>
        </w:numPr>
        <w:spacing w:after="120"/>
        <w:rPr>
          <w:rFonts w:cs="Calibri"/>
          <w:bCs/>
        </w:rPr>
      </w:pPr>
      <w:r w:rsidRPr="00E010E4">
        <w:rPr>
          <w:rFonts w:cs="Calibri"/>
          <w:bCs/>
        </w:rPr>
        <w:t>ICMSA</w:t>
      </w:r>
    </w:p>
    <w:p w:rsidR="00E010E4" w:rsidRDefault="007D4979" w:rsidP="006D1283">
      <w:pPr>
        <w:numPr>
          <w:ilvl w:val="0"/>
          <w:numId w:val="31"/>
        </w:numPr>
        <w:spacing w:after="120"/>
        <w:rPr>
          <w:rFonts w:cs="Calibri"/>
          <w:bCs/>
        </w:rPr>
      </w:pPr>
      <w:r w:rsidRPr="00E010E4">
        <w:rPr>
          <w:rFonts w:cs="Calibri"/>
          <w:bCs/>
        </w:rPr>
        <w:t>ICOS</w:t>
      </w:r>
    </w:p>
    <w:p w:rsidR="00E010E4" w:rsidRDefault="00E010E4" w:rsidP="006D1283">
      <w:pPr>
        <w:numPr>
          <w:ilvl w:val="0"/>
          <w:numId w:val="31"/>
        </w:numPr>
        <w:spacing w:after="120"/>
        <w:rPr>
          <w:rFonts w:cs="Calibri"/>
          <w:bCs/>
        </w:rPr>
      </w:pPr>
      <w:r>
        <w:rPr>
          <w:rFonts w:cs="Calibri"/>
          <w:bCs/>
        </w:rPr>
        <w:t>T</w:t>
      </w:r>
      <w:r w:rsidR="006D1283" w:rsidRPr="00E010E4">
        <w:rPr>
          <w:rFonts w:cs="Calibri"/>
          <w:bCs/>
        </w:rPr>
        <w:t>eagasc</w:t>
      </w:r>
    </w:p>
    <w:p w:rsidR="00E010E4" w:rsidRDefault="00173D3A" w:rsidP="006D1283">
      <w:pPr>
        <w:numPr>
          <w:ilvl w:val="0"/>
          <w:numId w:val="31"/>
        </w:numPr>
        <w:spacing w:after="120"/>
        <w:rPr>
          <w:rFonts w:cs="Calibri"/>
          <w:bCs/>
        </w:rPr>
      </w:pPr>
      <w:r w:rsidRPr="00E010E4">
        <w:rPr>
          <w:rFonts w:cs="Calibri"/>
          <w:bCs/>
        </w:rPr>
        <w:t>Macra Na Feirme</w:t>
      </w:r>
    </w:p>
    <w:p w:rsidR="00E010E4" w:rsidRDefault="006D1283" w:rsidP="006D1283">
      <w:pPr>
        <w:numPr>
          <w:ilvl w:val="0"/>
          <w:numId w:val="31"/>
        </w:numPr>
        <w:spacing w:after="120"/>
        <w:rPr>
          <w:rFonts w:cs="Calibri"/>
          <w:bCs/>
        </w:rPr>
      </w:pPr>
      <w:r w:rsidRPr="00E010E4">
        <w:rPr>
          <w:rFonts w:cs="Calibri"/>
          <w:bCs/>
        </w:rPr>
        <w:t>IFA</w:t>
      </w:r>
    </w:p>
    <w:p w:rsidR="00E010E4" w:rsidRDefault="00173D3A" w:rsidP="006D1283">
      <w:pPr>
        <w:numPr>
          <w:ilvl w:val="0"/>
          <w:numId w:val="31"/>
        </w:numPr>
        <w:spacing w:after="120"/>
        <w:rPr>
          <w:rFonts w:cs="Calibri"/>
          <w:bCs/>
        </w:rPr>
      </w:pPr>
      <w:r w:rsidRPr="00E010E4">
        <w:rPr>
          <w:rFonts w:cs="Calibri"/>
          <w:bCs/>
        </w:rPr>
        <w:t xml:space="preserve"> EPA              </w:t>
      </w:r>
    </w:p>
    <w:p w:rsidR="00E010E4" w:rsidRDefault="00173D3A" w:rsidP="006D1283">
      <w:pPr>
        <w:numPr>
          <w:ilvl w:val="0"/>
          <w:numId w:val="31"/>
        </w:numPr>
        <w:spacing w:after="120"/>
        <w:rPr>
          <w:rFonts w:cs="Calibri"/>
          <w:bCs/>
        </w:rPr>
      </w:pPr>
      <w:r w:rsidRPr="00E010E4">
        <w:rPr>
          <w:rFonts w:cs="Calibri"/>
          <w:bCs/>
        </w:rPr>
        <w:t>Cllr Aoife Thornton</w:t>
      </w:r>
    </w:p>
    <w:p w:rsidR="00E010E4" w:rsidRDefault="00173D3A" w:rsidP="006D1283">
      <w:pPr>
        <w:numPr>
          <w:ilvl w:val="0"/>
          <w:numId w:val="31"/>
        </w:numPr>
        <w:spacing w:after="120"/>
        <w:rPr>
          <w:rFonts w:cs="Calibri"/>
          <w:bCs/>
        </w:rPr>
      </w:pPr>
      <w:r w:rsidRPr="00E010E4">
        <w:rPr>
          <w:rFonts w:cs="Calibri"/>
          <w:bCs/>
        </w:rPr>
        <w:t>Greengas AD Plant</w:t>
      </w:r>
    </w:p>
    <w:p w:rsidR="00E010E4" w:rsidRDefault="00173D3A" w:rsidP="006D1283">
      <w:pPr>
        <w:numPr>
          <w:ilvl w:val="0"/>
          <w:numId w:val="31"/>
        </w:numPr>
        <w:spacing w:after="120"/>
        <w:rPr>
          <w:rFonts w:cs="Calibri"/>
          <w:bCs/>
        </w:rPr>
      </w:pPr>
      <w:r w:rsidRPr="00E010E4">
        <w:rPr>
          <w:rFonts w:cs="Calibri"/>
          <w:bCs/>
        </w:rPr>
        <w:t>HSE</w:t>
      </w:r>
    </w:p>
    <w:p w:rsidR="00E010E4" w:rsidRDefault="00173D3A" w:rsidP="006D1283">
      <w:pPr>
        <w:numPr>
          <w:ilvl w:val="0"/>
          <w:numId w:val="31"/>
        </w:numPr>
        <w:spacing w:after="120"/>
        <w:rPr>
          <w:rFonts w:cs="Calibri"/>
          <w:bCs/>
        </w:rPr>
      </w:pPr>
      <w:r w:rsidRPr="00E010E4">
        <w:rPr>
          <w:rFonts w:cs="Calibri"/>
          <w:bCs/>
        </w:rPr>
        <w:t>IDI</w:t>
      </w:r>
    </w:p>
    <w:p w:rsidR="00E010E4" w:rsidRDefault="00173D3A" w:rsidP="006D1283">
      <w:pPr>
        <w:numPr>
          <w:ilvl w:val="0"/>
          <w:numId w:val="31"/>
        </w:numPr>
        <w:spacing w:after="120"/>
        <w:rPr>
          <w:rFonts w:cs="Calibri"/>
          <w:bCs/>
        </w:rPr>
      </w:pPr>
      <w:r w:rsidRPr="00E010E4">
        <w:rPr>
          <w:rFonts w:cs="Calibri"/>
          <w:bCs/>
        </w:rPr>
        <w:t>Indaver Ireland</w:t>
      </w:r>
    </w:p>
    <w:p w:rsidR="00E010E4" w:rsidRDefault="00173D3A" w:rsidP="006D1283">
      <w:pPr>
        <w:numPr>
          <w:ilvl w:val="0"/>
          <w:numId w:val="31"/>
        </w:numPr>
        <w:spacing w:after="120"/>
        <w:rPr>
          <w:rFonts w:cs="Calibri"/>
          <w:bCs/>
        </w:rPr>
      </w:pPr>
      <w:r w:rsidRPr="00E010E4">
        <w:rPr>
          <w:rFonts w:cs="Calibri"/>
          <w:bCs/>
        </w:rPr>
        <w:t>Justin Good</w:t>
      </w:r>
    </w:p>
    <w:p w:rsidR="00E010E4" w:rsidRDefault="00173D3A" w:rsidP="006D1283">
      <w:pPr>
        <w:numPr>
          <w:ilvl w:val="0"/>
          <w:numId w:val="31"/>
        </w:numPr>
        <w:spacing w:after="120"/>
        <w:rPr>
          <w:rFonts w:cs="Calibri"/>
          <w:bCs/>
        </w:rPr>
      </w:pPr>
      <w:r w:rsidRPr="00E010E4">
        <w:rPr>
          <w:rFonts w:cs="Calibri"/>
          <w:bCs/>
        </w:rPr>
        <w:t>Ormonde Organics</w:t>
      </w:r>
    </w:p>
    <w:p w:rsidR="00E010E4" w:rsidRDefault="00173D3A" w:rsidP="006D1283">
      <w:pPr>
        <w:numPr>
          <w:ilvl w:val="0"/>
          <w:numId w:val="31"/>
        </w:numPr>
        <w:spacing w:after="120"/>
        <w:rPr>
          <w:rFonts w:cs="Calibri"/>
          <w:bCs/>
        </w:rPr>
      </w:pPr>
      <w:r w:rsidRPr="00E010E4">
        <w:rPr>
          <w:rFonts w:cs="Calibri"/>
          <w:bCs/>
        </w:rPr>
        <w:t>Mulcair Group</w:t>
      </w:r>
    </w:p>
    <w:p w:rsidR="00E010E4" w:rsidRDefault="00173D3A" w:rsidP="006D1283">
      <w:pPr>
        <w:numPr>
          <w:ilvl w:val="0"/>
          <w:numId w:val="31"/>
        </w:numPr>
        <w:spacing w:after="120"/>
        <w:rPr>
          <w:rFonts w:cs="Calibri"/>
          <w:bCs/>
        </w:rPr>
      </w:pPr>
      <w:r w:rsidRPr="00E010E4">
        <w:rPr>
          <w:rFonts w:cs="Calibri"/>
          <w:bCs/>
        </w:rPr>
        <w:t>Richard Green</w:t>
      </w:r>
    </w:p>
    <w:p w:rsidR="00001022" w:rsidRPr="00E010E4" w:rsidRDefault="00173D3A" w:rsidP="00173D3A">
      <w:pPr>
        <w:numPr>
          <w:ilvl w:val="0"/>
          <w:numId w:val="31"/>
        </w:numPr>
        <w:spacing w:after="120"/>
        <w:rPr>
          <w:rFonts w:cs="Calibri"/>
          <w:bCs/>
        </w:rPr>
      </w:pPr>
      <w:r w:rsidRPr="00E010E4">
        <w:rPr>
          <w:rFonts w:cs="Calibri"/>
          <w:bCs/>
        </w:rPr>
        <w:t>UCD</w:t>
      </w:r>
    </w:p>
    <w:p w:rsidR="00001022" w:rsidRDefault="00001022" w:rsidP="003A4C41">
      <w:pPr>
        <w:rPr>
          <w:rFonts w:cs="Calibri"/>
        </w:rPr>
      </w:pPr>
    </w:p>
    <w:p w:rsidR="00C40C04" w:rsidRDefault="00C40C04" w:rsidP="003A4C41">
      <w:pPr>
        <w:rPr>
          <w:rFonts w:cs="Calibri"/>
        </w:rPr>
      </w:pPr>
    </w:p>
    <w:p w:rsidR="0074223A" w:rsidRDefault="0074223A">
      <w:pPr>
        <w:spacing w:after="0" w:line="240" w:lineRule="auto"/>
        <w:rPr>
          <w:rFonts w:cs="Calibri"/>
          <w:b/>
          <w:u w:val="single"/>
        </w:rPr>
      </w:pPr>
      <w:r>
        <w:rPr>
          <w:rFonts w:cs="Calibri"/>
          <w:b/>
          <w:u w:val="single"/>
        </w:rPr>
        <w:br w:type="page"/>
      </w:r>
    </w:p>
    <w:p w:rsidR="00001022" w:rsidRPr="00001022" w:rsidRDefault="00001022" w:rsidP="00001022">
      <w:pPr>
        <w:jc w:val="center"/>
        <w:rPr>
          <w:rFonts w:cs="Calibri"/>
          <w:b/>
          <w:u w:val="single"/>
        </w:rPr>
      </w:pPr>
      <w:r w:rsidRPr="00001022">
        <w:rPr>
          <w:rFonts w:cs="Calibri"/>
          <w:b/>
          <w:u w:val="single"/>
        </w:rPr>
        <w:lastRenderedPageBreak/>
        <w:t>Appendix 2: Review Group Membership</w:t>
      </w:r>
    </w:p>
    <w:p w:rsidR="00001022" w:rsidRPr="00E010E4" w:rsidRDefault="005D0F8B" w:rsidP="003A4C41">
      <w:pPr>
        <w:rPr>
          <w:rFonts w:cs="Calibri"/>
        </w:rPr>
      </w:pPr>
      <w:r w:rsidRPr="00E010E4">
        <w:rPr>
          <w:rFonts w:cs="Calibri"/>
          <w:lang w:eastAsia="en-IE"/>
        </w:rPr>
        <w:t xml:space="preserve">Cian Ó Lionáin </w:t>
      </w:r>
      <w:r w:rsidR="00E010E4">
        <w:rPr>
          <w:rFonts w:cs="Calibri"/>
        </w:rPr>
        <w:t>(co-chair) -</w:t>
      </w:r>
      <w:r w:rsidR="00001022" w:rsidRPr="00E010E4">
        <w:rPr>
          <w:rFonts w:cs="Calibri"/>
        </w:rPr>
        <w:t xml:space="preserve"> </w:t>
      </w:r>
      <w:r w:rsidRPr="00E010E4">
        <w:rPr>
          <w:rFonts w:cs="Calibri"/>
        </w:rPr>
        <w:t xml:space="preserve">Department of Housing, Planning and Local Government </w:t>
      </w:r>
    </w:p>
    <w:p w:rsidR="00001022" w:rsidRDefault="005D0F8B" w:rsidP="003A4C41">
      <w:pPr>
        <w:rPr>
          <w:rFonts w:cs="Calibri"/>
        </w:rPr>
      </w:pPr>
      <w:r w:rsidRPr="00E010E4">
        <w:rPr>
          <w:rFonts w:cs="Calibri"/>
        </w:rPr>
        <w:t>Jack Nolan</w:t>
      </w:r>
      <w:r w:rsidR="00001022" w:rsidRPr="00E010E4">
        <w:rPr>
          <w:rFonts w:cs="Calibri"/>
        </w:rPr>
        <w:t xml:space="preserve"> (c</w:t>
      </w:r>
      <w:r w:rsidR="00E010E4">
        <w:rPr>
          <w:rFonts w:cs="Calibri"/>
        </w:rPr>
        <w:t>o-chair) -</w:t>
      </w:r>
      <w:r w:rsidR="00001022">
        <w:rPr>
          <w:rFonts w:cs="Calibri"/>
        </w:rPr>
        <w:t xml:space="preserve"> Department of Agriculture, Food and the Marine</w:t>
      </w:r>
    </w:p>
    <w:p w:rsidR="00F0012E" w:rsidRDefault="00F0012E" w:rsidP="00F0012E">
      <w:pPr>
        <w:rPr>
          <w:rFonts w:cs="Calibri"/>
        </w:rPr>
      </w:pPr>
      <w:r>
        <w:rPr>
          <w:rFonts w:cs="Calibri"/>
        </w:rPr>
        <w:t xml:space="preserve">Seamus Barron - </w:t>
      </w:r>
      <w:r w:rsidRPr="00001022">
        <w:rPr>
          <w:rFonts w:cs="Calibri"/>
        </w:rPr>
        <w:t>Department of Agriculture, Food and the Marine</w:t>
      </w:r>
    </w:p>
    <w:p w:rsidR="007A6329" w:rsidRDefault="00001022" w:rsidP="003A4C41">
      <w:pPr>
        <w:rPr>
          <w:rFonts w:cs="Calibri"/>
        </w:rPr>
      </w:pPr>
      <w:r>
        <w:rPr>
          <w:rFonts w:cs="Calibri"/>
        </w:rPr>
        <w:t>Colin Byrne</w:t>
      </w:r>
      <w:r w:rsidR="00E010E4">
        <w:rPr>
          <w:rFonts w:cs="Calibri"/>
        </w:rPr>
        <w:t xml:space="preserve"> -</w:t>
      </w:r>
      <w:r w:rsidR="0001250C">
        <w:rPr>
          <w:rFonts w:cs="Calibri"/>
        </w:rPr>
        <w:t xml:space="preserve"> Department of </w:t>
      </w:r>
      <w:r w:rsidR="005D0F8B">
        <w:rPr>
          <w:rFonts w:cs="Calibri"/>
        </w:rPr>
        <w:t xml:space="preserve">Housing, Planning and Local Government </w:t>
      </w:r>
    </w:p>
    <w:p w:rsidR="00001022" w:rsidRDefault="005D0F8B" w:rsidP="003A4C41">
      <w:pPr>
        <w:rPr>
          <w:rFonts w:cs="Calibri"/>
        </w:rPr>
      </w:pPr>
      <w:r>
        <w:rPr>
          <w:rFonts w:cs="Calibri"/>
        </w:rPr>
        <w:t xml:space="preserve">Donal Grant -   </w:t>
      </w:r>
      <w:r w:rsidRPr="005D0F8B">
        <w:rPr>
          <w:rFonts w:cs="Calibri"/>
        </w:rPr>
        <w:t xml:space="preserve"> </w:t>
      </w:r>
      <w:r>
        <w:rPr>
          <w:rFonts w:cs="Calibri"/>
        </w:rPr>
        <w:t>Department of Housing, Planning and Local Government</w:t>
      </w:r>
    </w:p>
    <w:p w:rsidR="005D0F8B" w:rsidRDefault="005D0F8B" w:rsidP="005D0F8B">
      <w:pPr>
        <w:rPr>
          <w:rFonts w:cs="Calibri"/>
        </w:rPr>
      </w:pPr>
      <w:r>
        <w:rPr>
          <w:rFonts w:cs="Calibri"/>
        </w:rPr>
        <w:t>Deirdre Fanning - Department of Housing, Planning and Local Government</w:t>
      </w:r>
    </w:p>
    <w:p w:rsidR="005D0F8B" w:rsidRDefault="005D0F8B" w:rsidP="005D0F8B">
      <w:pPr>
        <w:rPr>
          <w:rFonts w:cs="Calibri"/>
        </w:rPr>
      </w:pPr>
      <w:r>
        <w:rPr>
          <w:rFonts w:cs="Calibri"/>
        </w:rPr>
        <w:t>Susan Murphy - Department of Housing, Planning and Local Government</w:t>
      </w:r>
    </w:p>
    <w:p w:rsidR="005D0F8B" w:rsidRDefault="005D0F8B" w:rsidP="005D0F8B">
      <w:pPr>
        <w:rPr>
          <w:rFonts w:cs="Calibri"/>
        </w:rPr>
      </w:pPr>
      <w:r>
        <w:rPr>
          <w:rFonts w:cs="Calibri"/>
        </w:rPr>
        <w:t xml:space="preserve">Tracey O’ Connor </w:t>
      </w:r>
      <w:r w:rsidR="00E010E4">
        <w:rPr>
          <w:rFonts w:cs="Calibri"/>
        </w:rPr>
        <w:t xml:space="preserve">- </w:t>
      </w:r>
      <w:r>
        <w:rPr>
          <w:rFonts w:cs="Calibri"/>
        </w:rPr>
        <w:t>Department of Housing, Planning and Local Government</w:t>
      </w:r>
    </w:p>
    <w:p w:rsidR="00001022" w:rsidRDefault="005D0F8B" w:rsidP="003A4C41">
      <w:pPr>
        <w:rPr>
          <w:rFonts w:cs="Calibri"/>
        </w:rPr>
      </w:pPr>
      <w:r>
        <w:rPr>
          <w:rFonts w:cs="Calibri"/>
        </w:rPr>
        <w:t xml:space="preserve">Ger Shortle </w:t>
      </w:r>
      <w:r w:rsidR="00E010E4">
        <w:rPr>
          <w:rFonts w:cs="Calibri"/>
        </w:rPr>
        <w:t>-</w:t>
      </w:r>
      <w:r w:rsidR="00001022">
        <w:rPr>
          <w:rFonts w:cs="Calibri"/>
        </w:rPr>
        <w:t xml:space="preserve"> Teagasc</w:t>
      </w:r>
    </w:p>
    <w:p w:rsidR="005D0F8B" w:rsidRDefault="005D0F8B" w:rsidP="003A4C41">
      <w:pPr>
        <w:rPr>
          <w:rFonts w:cs="Calibri"/>
        </w:rPr>
      </w:pPr>
      <w:r>
        <w:rPr>
          <w:rFonts w:cs="Calibri"/>
        </w:rPr>
        <w:t>David Wall - Teagasc</w:t>
      </w:r>
    </w:p>
    <w:p w:rsidR="00001022" w:rsidRDefault="005D0F8B" w:rsidP="003A4C41">
      <w:pPr>
        <w:rPr>
          <w:rFonts w:cs="Calibri"/>
        </w:rPr>
      </w:pPr>
      <w:r>
        <w:rPr>
          <w:rFonts w:cs="Calibri"/>
        </w:rPr>
        <w:t>Jenny Deakin</w:t>
      </w:r>
      <w:r w:rsidR="00001022">
        <w:rPr>
          <w:rFonts w:cs="Calibri"/>
        </w:rPr>
        <w:t xml:space="preserve"> </w:t>
      </w:r>
      <w:r w:rsidR="00E010E4">
        <w:rPr>
          <w:rFonts w:cs="Calibri"/>
        </w:rPr>
        <w:t>-</w:t>
      </w:r>
      <w:r w:rsidR="00001022">
        <w:rPr>
          <w:rFonts w:cs="Calibri"/>
        </w:rPr>
        <w:t xml:space="preserve"> EPA</w:t>
      </w:r>
    </w:p>
    <w:p w:rsidR="00001022" w:rsidRDefault="00001022" w:rsidP="003A4C41">
      <w:pPr>
        <w:rPr>
          <w:rFonts w:cs="Calibri"/>
        </w:rPr>
      </w:pPr>
    </w:p>
    <w:p w:rsidR="00001022" w:rsidRDefault="00001022"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AE323B" w:rsidRDefault="00AE323B" w:rsidP="003A4C41">
      <w:pPr>
        <w:rPr>
          <w:rFonts w:cs="Calibri"/>
        </w:rPr>
      </w:pPr>
    </w:p>
    <w:p w:rsidR="003801C9" w:rsidRPr="00E010E4" w:rsidRDefault="00CD79C7" w:rsidP="00F66B69">
      <w:pPr>
        <w:jc w:val="center"/>
        <w:rPr>
          <w:rFonts w:cs="Calibri"/>
          <w:b/>
          <w:u w:val="single"/>
        </w:rPr>
      </w:pPr>
      <w:r>
        <w:rPr>
          <w:rFonts w:cs="Calibri"/>
          <w:b/>
          <w:u w:val="single"/>
        </w:rPr>
        <w:lastRenderedPageBreak/>
        <w:t>Appendix 3: Revised Tables</w:t>
      </w:r>
    </w:p>
    <w:p w:rsidR="00CD79C7" w:rsidRDefault="00CD79C7" w:rsidP="00CD79C7">
      <w:r>
        <w:t xml:space="preserve">Table </w:t>
      </w:r>
      <w:r w:rsidRPr="00CD79C7">
        <w:t>(12) Annual</w:t>
      </w:r>
      <w:r>
        <w:t xml:space="preserve"> maximum fertilisation rates of nitrogen on grassland</w:t>
      </w:r>
    </w:p>
    <w:tbl>
      <w:tblPr>
        <w:tblW w:w="0" w:type="auto"/>
        <w:tblLook w:val="04A0"/>
      </w:tblPr>
      <w:tblGrid>
        <w:gridCol w:w="4621"/>
        <w:gridCol w:w="4621"/>
      </w:tblGrid>
      <w:tr w:rsidR="00CD79C7" w:rsidRPr="00CD79C7" w:rsidTr="00CD79C7">
        <w:tc>
          <w:tcPr>
            <w:tcW w:w="4621" w:type="dxa"/>
            <w:tcBorders>
              <w:top w:val="single" w:sz="4" w:space="0" w:color="auto"/>
              <w:bottom w:val="single" w:sz="4" w:space="0" w:color="auto"/>
              <w:right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Grassland stocking rate</w:t>
            </w:r>
            <w:r w:rsidRPr="00CD79C7">
              <w:rPr>
                <w:rFonts w:cs="TimesTen-Roman"/>
                <w:sz w:val="18"/>
                <w:szCs w:val="18"/>
                <w:vertAlign w:val="superscript"/>
              </w:rPr>
              <w:t>1</w:t>
            </w:r>
            <w:r w:rsidRPr="00CD79C7">
              <w:rPr>
                <w:rFonts w:cs="TimesTen-Roman"/>
                <w:sz w:val="18"/>
                <w:szCs w:val="18"/>
              </w:rPr>
              <w:t xml:space="preserve"> </w:t>
            </w:r>
          </w:p>
        </w:tc>
        <w:tc>
          <w:tcPr>
            <w:tcW w:w="4621" w:type="dxa"/>
            <w:tcBorders>
              <w:top w:val="single" w:sz="4" w:space="0" w:color="auto"/>
              <w:left w:val="single" w:sz="4" w:space="0" w:color="auto"/>
              <w:bottom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Available</w:t>
            </w:r>
            <w:r w:rsidRPr="00CD79C7">
              <w:rPr>
                <w:rFonts w:cs="TimesTen-Roman"/>
                <w:color w:val="FF0000"/>
                <w:sz w:val="18"/>
                <w:szCs w:val="18"/>
              </w:rPr>
              <w:t xml:space="preserve"> </w:t>
            </w:r>
            <w:r w:rsidRPr="00CD79C7">
              <w:rPr>
                <w:rFonts w:cs="TimesTen-Roman"/>
                <w:sz w:val="18"/>
                <w:szCs w:val="18"/>
              </w:rPr>
              <w:t>nitrogen</w:t>
            </w:r>
            <w:r w:rsidRPr="00CD79C7">
              <w:rPr>
                <w:rFonts w:cs="TimesTen-Roman"/>
                <w:sz w:val="18"/>
                <w:szCs w:val="18"/>
                <w:vertAlign w:val="superscript"/>
              </w:rPr>
              <w:t>2</w:t>
            </w:r>
          </w:p>
        </w:tc>
      </w:tr>
      <w:tr w:rsidR="00CD79C7" w:rsidRPr="00CD79C7" w:rsidTr="00CD79C7">
        <w:tc>
          <w:tcPr>
            <w:tcW w:w="4621" w:type="dxa"/>
            <w:tcBorders>
              <w:top w:val="single" w:sz="4" w:space="0" w:color="auto"/>
              <w:bottom w:val="single" w:sz="4" w:space="0" w:color="auto"/>
              <w:right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 xml:space="preserve">(kg/ha/year) </w:t>
            </w:r>
          </w:p>
        </w:tc>
        <w:tc>
          <w:tcPr>
            <w:tcW w:w="4621" w:type="dxa"/>
            <w:tcBorders>
              <w:top w:val="single" w:sz="4" w:space="0" w:color="auto"/>
              <w:left w:val="single" w:sz="4" w:space="0" w:color="auto"/>
              <w:bottom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 xml:space="preserve"> (kg/ha)</w:t>
            </w:r>
          </w:p>
        </w:tc>
      </w:tr>
      <w:tr w:rsidR="00CD79C7" w:rsidRPr="00CD79C7" w:rsidTr="00CD79C7">
        <w:tc>
          <w:tcPr>
            <w:tcW w:w="4621" w:type="dxa"/>
            <w:tcBorders>
              <w:top w:val="single" w:sz="4" w:space="0" w:color="auto"/>
              <w:bottom w:val="single" w:sz="4" w:space="0" w:color="auto"/>
              <w:right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 xml:space="preserve">170 </w:t>
            </w:r>
          </w:p>
        </w:tc>
        <w:tc>
          <w:tcPr>
            <w:tcW w:w="4621" w:type="dxa"/>
            <w:tcBorders>
              <w:top w:val="single" w:sz="4" w:space="0" w:color="auto"/>
              <w:left w:val="single" w:sz="4" w:space="0" w:color="auto"/>
              <w:bottom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206</w:t>
            </w:r>
          </w:p>
        </w:tc>
      </w:tr>
      <w:tr w:rsidR="00CD79C7" w:rsidRPr="00CD79C7" w:rsidTr="00CD79C7">
        <w:tc>
          <w:tcPr>
            <w:tcW w:w="9242" w:type="dxa"/>
            <w:gridSpan w:val="2"/>
            <w:tcBorders>
              <w:top w:val="single" w:sz="4" w:space="0" w:color="auto"/>
              <w:bottom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Grassland stocking rate greater than 170 kg/ha/year</w:t>
            </w:r>
            <w:r w:rsidRPr="00CD79C7">
              <w:rPr>
                <w:rFonts w:cs="TimesTen-Roman"/>
                <w:sz w:val="18"/>
                <w:szCs w:val="18"/>
                <w:vertAlign w:val="superscript"/>
              </w:rPr>
              <w:t>3</w:t>
            </w:r>
          </w:p>
        </w:tc>
      </w:tr>
      <w:tr w:rsidR="00CD79C7" w:rsidRPr="00CD79C7" w:rsidTr="00CD79C7">
        <w:tc>
          <w:tcPr>
            <w:tcW w:w="4621" w:type="dxa"/>
            <w:tcBorders>
              <w:top w:val="single" w:sz="4" w:space="0" w:color="auto"/>
              <w:bottom w:val="single" w:sz="4" w:space="0" w:color="auto"/>
              <w:right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 xml:space="preserve">171-210 </w:t>
            </w:r>
          </w:p>
        </w:tc>
        <w:tc>
          <w:tcPr>
            <w:tcW w:w="4621" w:type="dxa"/>
            <w:tcBorders>
              <w:top w:val="single" w:sz="4" w:space="0" w:color="auto"/>
              <w:left w:val="single" w:sz="4" w:space="0" w:color="auto"/>
              <w:bottom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282</w:t>
            </w:r>
          </w:p>
        </w:tc>
      </w:tr>
      <w:tr w:rsidR="00CD79C7" w:rsidRPr="00CD79C7" w:rsidTr="00CD79C7">
        <w:tc>
          <w:tcPr>
            <w:tcW w:w="4621" w:type="dxa"/>
            <w:tcBorders>
              <w:top w:val="single" w:sz="4" w:space="0" w:color="auto"/>
              <w:bottom w:val="single" w:sz="4" w:space="0" w:color="auto"/>
              <w:right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 xml:space="preserve">211-250 </w:t>
            </w:r>
          </w:p>
        </w:tc>
        <w:tc>
          <w:tcPr>
            <w:tcW w:w="4621" w:type="dxa"/>
            <w:tcBorders>
              <w:top w:val="single" w:sz="4" w:space="0" w:color="auto"/>
              <w:left w:val="single" w:sz="4" w:space="0" w:color="auto"/>
              <w:bottom w:val="single" w:sz="4" w:space="0" w:color="auto"/>
            </w:tcBorders>
          </w:tcPr>
          <w:p w:rsidR="00CD79C7" w:rsidRPr="00CD79C7" w:rsidRDefault="00CD79C7" w:rsidP="00CD79C7">
            <w:pPr>
              <w:autoSpaceDE w:val="0"/>
              <w:autoSpaceDN w:val="0"/>
              <w:adjustRightInd w:val="0"/>
              <w:ind w:left="720"/>
              <w:jc w:val="center"/>
              <w:rPr>
                <w:rFonts w:cs="TimesTen-Roman"/>
                <w:sz w:val="18"/>
                <w:szCs w:val="18"/>
              </w:rPr>
            </w:pPr>
            <w:r w:rsidRPr="00CD79C7">
              <w:rPr>
                <w:rFonts w:cs="TimesTen-Roman"/>
                <w:sz w:val="18"/>
                <w:szCs w:val="18"/>
              </w:rPr>
              <w:t>250</w:t>
            </w:r>
          </w:p>
        </w:tc>
      </w:tr>
      <w:tr w:rsidR="00CD79C7" w:rsidRPr="00CD79C7" w:rsidTr="00CD79C7">
        <w:tc>
          <w:tcPr>
            <w:tcW w:w="4621" w:type="dxa"/>
            <w:tcBorders>
              <w:top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rFonts w:cs="TimesTen-Roman"/>
                <w:sz w:val="18"/>
                <w:szCs w:val="18"/>
              </w:rPr>
              <w:t>&gt;250</w:t>
            </w:r>
          </w:p>
        </w:tc>
        <w:tc>
          <w:tcPr>
            <w:tcW w:w="4621" w:type="dxa"/>
            <w:tcBorders>
              <w:top w:val="single" w:sz="4" w:space="0" w:color="auto"/>
              <w:left w:val="single" w:sz="4" w:space="0" w:color="auto"/>
              <w:bottom w:val="single" w:sz="4" w:space="0" w:color="auto"/>
            </w:tcBorders>
          </w:tcPr>
          <w:p w:rsidR="00CD79C7" w:rsidRPr="00CD79C7" w:rsidRDefault="00CD79C7" w:rsidP="00CD79C7">
            <w:pPr>
              <w:ind w:left="720"/>
              <w:jc w:val="center"/>
              <w:rPr>
                <w:sz w:val="18"/>
                <w:szCs w:val="18"/>
              </w:rPr>
            </w:pPr>
            <w:r w:rsidRPr="00CD79C7">
              <w:rPr>
                <w:rFonts w:cs="TimesTen-Roman"/>
                <w:sz w:val="18"/>
                <w:szCs w:val="18"/>
              </w:rPr>
              <w:t>250</w:t>
            </w:r>
            <w:r w:rsidRPr="00CD79C7">
              <w:rPr>
                <w:rFonts w:cs="TimesTen-Roman"/>
                <w:sz w:val="18"/>
                <w:szCs w:val="18"/>
                <w:vertAlign w:val="superscript"/>
              </w:rPr>
              <w:t>4</w:t>
            </w:r>
          </w:p>
        </w:tc>
      </w:tr>
      <w:tr w:rsidR="00CD79C7" w:rsidRPr="00CD79C7" w:rsidTr="00CD79C7">
        <w:tc>
          <w:tcPr>
            <w:tcW w:w="9242" w:type="dxa"/>
            <w:gridSpan w:val="2"/>
            <w:tcBorders>
              <w:top w:val="single" w:sz="4" w:space="0" w:color="auto"/>
            </w:tcBorders>
          </w:tcPr>
          <w:p w:rsidR="00CD79C7" w:rsidRPr="00CD79C7" w:rsidRDefault="00CD79C7" w:rsidP="0074223A">
            <w:pPr>
              <w:autoSpaceDE w:val="0"/>
              <w:autoSpaceDN w:val="0"/>
              <w:adjustRightInd w:val="0"/>
              <w:ind w:left="720"/>
              <w:jc w:val="both"/>
              <w:rPr>
                <w:rFonts w:cs="TimesTen-Roman"/>
                <w:sz w:val="18"/>
                <w:szCs w:val="18"/>
              </w:rPr>
            </w:pPr>
            <w:r w:rsidRPr="00CD79C7">
              <w:rPr>
                <w:rFonts w:cs="TimesTen-Roman"/>
                <w:sz w:val="18"/>
                <w:szCs w:val="18"/>
                <w:vertAlign w:val="superscript"/>
              </w:rPr>
              <w:t>1</w:t>
            </w:r>
            <w:r w:rsidRPr="00CD79C7">
              <w:rPr>
                <w:rFonts w:cs="TimesTen-Roman"/>
                <w:sz w:val="18"/>
                <w:szCs w:val="18"/>
              </w:rPr>
              <w:t>Total annual nitrogen (kg) excreted by grazing livestock averaged over the eligible grassland area (ha) (grazing and silage area). Stocking rate refers to grassland area only.</w:t>
            </w:r>
          </w:p>
        </w:tc>
      </w:tr>
      <w:tr w:rsidR="00CD79C7" w:rsidRPr="00CD79C7" w:rsidTr="00CD79C7">
        <w:tc>
          <w:tcPr>
            <w:tcW w:w="9242" w:type="dxa"/>
            <w:gridSpan w:val="2"/>
          </w:tcPr>
          <w:p w:rsidR="00CD79C7" w:rsidRPr="00CD79C7" w:rsidRDefault="00CD79C7" w:rsidP="0074223A">
            <w:pPr>
              <w:autoSpaceDE w:val="0"/>
              <w:autoSpaceDN w:val="0"/>
              <w:adjustRightInd w:val="0"/>
              <w:ind w:left="720"/>
              <w:jc w:val="both"/>
              <w:rPr>
                <w:rFonts w:cs="TimesTen-Roman"/>
                <w:sz w:val="18"/>
                <w:szCs w:val="18"/>
              </w:rPr>
            </w:pPr>
            <w:r w:rsidRPr="00CD79C7">
              <w:rPr>
                <w:rFonts w:cs="TimesTen-Roman"/>
                <w:sz w:val="18"/>
                <w:szCs w:val="18"/>
                <w:vertAlign w:val="superscript"/>
              </w:rPr>
              <w:t>2</w:t>
            </w:r>
            <w:r w:rsidRPr="00CD79C7">
              <w:rPr>
                <w:rFonts w:cs="TimesTen-Roman"/>
                <w:sz w:val="18"/>
                <w:szCs w:val="18"/>
              </w:rPr>
              <w:t>The maximum nitrogen fertilisation of grassland shall not exceed that specified for stocking rates less than or equal to 170 kg/ha/year unless a minimum of 5% of the eligible area of the holding is used to grow crops other than grass or a derogation applies in respect of the holding.</w:t>
            </w:r>
          </w:p>
        </w:tc>
      </w:tr>
      <w:tr w:rsidR="00CD79C7" w:rsidRPr="00CD79C7" w:rsidTr="00CD79C7">
        <w:tc>
          <w:tcPr>
            <w:tcW w:w="9242" w:type="dxa"/>
            <w:gridSpan w:val="2"/>
          </w:tcPr>
          <w:p w:rsidR="00CD79C7" w:rsidRPr="00CD79C7" w:rsidRDefault="00CD79C7" w:rsidP="0074223A">
            <w:pPr>
              <w:autoSpaceDE w:val="0"/>
              <w:autoSpaceDN w:val="0"/>
              <w:adjustRightInd w:val="0"/>
              <w:ind w:left="720"/>
              <w:jc w:val="both"/>
              <w:rPr>
                <w:rFonts w:cs="TimesTen-Roman"/>
                <w:sz w:val="18"/>
                <w:szCs w:val="18"/>
              </w:rPr>
            </w:pPr>
            <w:r w:rsidRPr="00CD79C7">
              <w:rPr>
                <w:rFonts w:cs="TimesTen-Roman"/>
                <w:sz w:val="18"/>
                <w:szCs w:val="18"/>
                <w:vertAlign w:val="superscript"/>
              </w:rPr>
              <w:t>3</w:t>
            </w:r>
            <w:r w:rsidRPr="00CD79C7">
              <w:rPr>
                <w:rFonts w:cs="TimesTen-Roman"/>
                <w:sz w:val="18"/>
                <w:szCs w:val="18"/>
              </w:rPr>
              <w:t>This table does not imply any departure from Article 20(1) which prohibits the application to land on a holding of livestock manure in amounts which exceed 170kg Nitrogen per hectare per year, including that deposited by the animals themselves (or 250kg in the case of a holding to which a derogation has been granted, in accordance with the Nitrates Directive).</w:t>
            </w:r>
          </w:p>
        </w:tc>
      </w:tr>
      <w:tr w:rsidR="00CD79C7" w:rsidRPr="00CD79C7" w:rsidTr="00CD79C7">
        <w:tc>
          <w:tcPr>
            <w:tcW w:w="9242" w:type="dxa"/>
            <w:gridSpan w:val="2"/>
          </w:tcPr>
          <w:p w:rsidR="00CD79C7" w:rsidRPr="00CD79C7" w:rsidRDefault="00CD79C7" w:rsidP="0074223A">
            <w:pPr>
              <w:autoSpaceDE w:val="0"/>
              <w:autoSpaceDN w:val="0"/>
              <w:adjustRightInd w:val="0"/>
              <w:ind w:left="720"/>
              <w:jc w:val="both"/>
              <w:rPr>
                <w:rFonts w:cs="TimesTen-Roman"/>
                <w:sz w:val="18"/>
                <w:szCs w:val="18"/>
              </w:rPr>
            </w:pPr>
            <w:r w:rsidRPr="00CD79C7">
              <w:rPr>
                <w:rFonts w:cs="TimesTen-Roman"/>
                <w:sz w:val="18"/>
                <w:szCs w:val="18"/>
                <w:vertAlign w:val="superscript"/>
              </w:rPr>
              <w:t>4</w:t>
            </w:r>
            <w:r w:rsidRPr="00CD79C7">
              <w:rPr>
                <w:rFonts w:cs="TimesTen-Roman"/>
                <w:sz w:val="18"/>
                <w:szCs w:val="18"/>
              </w:rPr>
              <w:t>The application of Nitrogen from livestock manure (including that deposited by the animals themselves) to the eligible grassland area shall not exceed 250 kg Nitrogen per hectare per year.</w:t>
            </w:r>
          </w:p>
        </w:tc>
      </w:tr>
    </w:tbl>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b/>
        </w:rPr>
      </w:pPr>
    </w:p>
    <w:p w:rsidR="00CD79C7" w:rsidRDefault="00CD79C7" w:rsidP="00CD79C7">
      <w:pPr>
        <w:rPr>
          <w:sz w:val="18"/>
          <w:szCs w:val="18"/>
        </w:rPr>
      </w:pPr>
    </w:p>
    <w:p w:rsidR="00CD79C7" w:rsidRPr="00CD79C7" w:rsidRDefault="00CD79C7" w:rsidP="00CD79C7">
      <w:r w:rsidRPr="00CD79C7">
        <w:lastRenderedPageBreak/>
        <w:t>Table (13a) Annual maximum fertilisation rates of phosphorus on grassland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843"/>
        <w:gridCol w:w="1701"/>
        <w:gridCol w:w="1559"/>
        <w:gridCol w:w="1479"/>
      </w:tblGrid>
      <w:tr w:rsidR="00CD79C7" w:rsidRPr="00CD79C7" w:rsidTr="00CD79C7">
        <w:tc>
          <w:tcPr>
            <w:tcW w:w="2660" w:type="dxa"/>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sz w:val="18"/>
                <w:szCs w:val="18"/>
              </w:rPr>
              <w:t>Grassland stocking rate</w:t>
            </w:r>
            <w:r w:rsidRPr="00CD79C7">
              <w:rPr>
                <w:sz w:val="18"/>
                <w:szCs w:val="18"/>
                <w:vertAlign w:val="superscript"/>
              </w:rPr>
              <w:t>1</w:t>
            </w:r>
            <w:r w:rsidRPr="00CD79C7">
              <w:rPr>
                <w:sz w:val="18"/>
                <w:szCs w:val="18"/>
              </w:rPr>
              <w:t xml:space="preserve"> (kg/ha/year)</w:t>
            </w:r>
          </w:p>
        </w:tc>
        <w:tc>
          <w:tcPr>
            <w:tcW w:w="6582" w:type="dxa"/>
            <w:gridSpan w:val="4"/>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sz w:val="18"/>
                <w:szCs w:val="18"/>
              </w:rPr>
              <w:t>Phosphorus Index</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4</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p>
        </w:tc>
        <w:tc>
          <w:tcPr>
            <w:tcW w:w="6582" w:type="dxa"/>
            <w:gridSpan w:val="4"/>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 xml:space="preserve">Available Phosphorus (kg/ha) </w:t>
            </w:r>
            <w:r w:rsidRPr="00CD79C7">
              <w:rPr>
                <w:sz w:val="18"/>
                <w:szCs w:val="18"/>
                <w:vertAlign w:val="superscript"/>
              </w:rPr>
              <w:t>2,3,6</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&lt;85</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27</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17</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7</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86-130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30</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20</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10</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131-170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33</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23</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13</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9242" w:type="dxa"/>
            <w:gridSpan w:val="5"/>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rFonts w:cs="TimesTen-Roman"/>
                <w:sz w:val="18"/>
                <w:szCs w:val="18"/>
              </w:rPr>
              <w:t>Grassland stocking rate greater than 170 kg/ha/year</w:t>
            </w:r>
            <w:r w:rsidRPr="00CD79C7">
              <w:rPr>
                <w:rFonts w:cs="TimesTen-Roman"/>
                <w:sz w:val="18"/>
                <w:szCs w:val="18"/>
                <w:vertAlign w:val="superscript"/>
              </w:rPr>
              <w:t>4,5</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171-210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36</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26</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16</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211-250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39</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29</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19</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&gt;250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39</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29</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19</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9242" w:type="dxa"/>
            <w:gridSpan w:val="5"/>
            <w:tcBorders>
              <w:top w:val="single" w:sz="4" w:space="0" w:color="auto"/>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1</w:t>
            </w:r>
            <w:r w:rsidRPr="00CD79C7">
              <w:rPr>
                <w:rFonts w:cs="TimesTen-Roman"/>
                <w:sz w:val="18"/>
                <w:szCs w:val="18"/>
              </w:rPr>
              <w:t>Total annual nitrogen (kg) excreted by grazing livestock averaged over the eligible grassland area (grazing and silage area). Stocking rate refers to grassland area only.</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2</w:t>
            </w:r>
            <w:r w:rsidRPr="00CD79C7">
              <w:rPr>
                <w:rFonts w:cs="TimesTen-Roman"/>
                <w:sz w:val="18"/>
                <w:szCs w:val="18"/>
              </w:rPr>
              <w:t>The fertilisation rates for soils which have more than 20% organic matter shall not exceed the amounts permitted for Index 3 soils.</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3</w:t>
            </w:r>
            <w:r w:rsidRPr="00CD79C7">
              <w:rPr>
                <w:rFonts w:cs="TimesTen-Roman"/>
                <w:sz w:val="18"/>
                <w:szCs w:val="18"/>
              </w:rPr>
              <w:t>Manure produced by grazing livestock on a holding may be applied to Index 4 soils on that holding in a situation where there is a surplus of such manure remaining after the phosphorus fertilisation needs of all crops on soils at phosphorus indices 1, 2 or 3 on the holding have been met by the use only of such manure produced on the holding.</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4</w:t>
            </w:r>
            <w:r w:rsidRPr="00CD79C7">
              <w:rPr>
                <w:rFonts w:cs="TimesTen-Roman"/>
                <w:sz w:val="18"/>
                <w:szCs w:val="18"/>
              </w:rPr>
              <w:t>The maximum phosphorus fertilisation of grassland shall not exceed that specified for stocking rates less than or equal to 170 kg/ha/year unless a minimum of 5% of the eligible area of the holding is used to grow crops other than grass or a derogation applies in respect of the holding.</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5</w:t>
            </w:r>
            <w:r w:rsidRPr="00CD79C7">
              <w:rPr>
                <w:rFonts w:cs="TimesTen-Roman"/>
                <w:sz w:val="18"/>
                <w:szCs w:val="18"/>
              </w:rPr>
              <w:t>This table does not imply any departure from Article 20(1) which prohibits the application to land on a holding of livestock manure in amounts which exceed 170kg Nitrogen per hectare per year, including that deposited by the animals themselves (or 250kg in the case of a holding to which a derogation has been granted in accordance with the Nitrates Directive).</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6</w:t>
            </w:r>
            <w:r w:rsidRPr="00CD79C7">
              <w:rPr>
                <w:rFonts w:cs="TimesTen-Roman"/>
                <w:sz w:val="18"/>
                <w:szCs w:val="18"/>
              </w:rPr>
              <w:t>An additional 15 kg of phosphorus per hectare may be applied on soils at phosphorus indices 1, 2, or 3 for each hectare of pasture establishment undertaken.</w:t>
            </w:r>
          </w:p>
        </w:tc>
      </w:tr>
    </w:tbl>
    <w:p w:rsidR="00CD79C7" w:rsidRDefault="00CD79C7" w:rsidP="00CD79C7">
      <w:pPr>
        <w:rPr>
          <w:sz w:val="18"/>
          <w:szCs w:val="18"/>
        </w:rPr>
      </w:pPr>
    </w:p>
    <w:p w:rsidR="00CD79C7" w:rsidRDefault="00CD79C7" w:rsidP="00CD79C7">
      <w:pPr>
        <w:rPr>
          <w:sz w:val="18"/>
          <w:szCs w:val="18"/>
        </w:rPr>
      </w:pPr>
    </w:p>
    <w:p w:rsidR="00CD79C7" w:rsidRDefault="00CD79C7" w:rsidP="00CD79C7">
      <w:pPr>
        <w:rPr>
          <w:sz w:val="18"/>
          <w:szCs w:val="18"/>
        </w:rPr>
      </w:pPr>
    </w:p>
    <w:p w:rsidR="00CD79C7" w:rsidRDefault="00CD79C7" w:rsidP="00CD79C7">
      <w:pPr>
        <w:rPr>
          <w:sz w:val="18"/>
          <w:szCs w:val="18"/>
        </w:rPr>
      </w:pPr>
    </w:p>
    <w:p w:rsidR="00CD79C7" w:rsidRDefault="00CD79C7" w:rsidP="00CD79C7">
      <w:pPr>
        <w:rPr>
          <w:sz w:val="18"/>
          <w:szCs w:val="18"/>
        </w:rPr>
      </w:pPr>
    </w:p>
    <w:p w:rsidR="00CD79C7" w:rsidRPr="00CD79C7" w:rsidRDefault="00CD79C7" w:rsidP="00CD79C7">
      <w:pPr>
        <w:rPr>
          <w:sz w:val="18"/>
          <w:szCs w:val="18"/>
        </w:rPr>
      </w:pPr>
    </w:p>
    <w:p w:rsidR="00CD79C7" w:rsidRPr="00CD79C7" w:rsidRDefault="00CD79C7" w:rsidP="00CD79C7">
      <w:r w:rsidRPr="00CD79C7">
        <w:lastRenderedPageBreak/>
        <w:t>Table (13 b) Annual maximum fertilisation rates of phosphorus on grassland with stocking rates &gt;130 kg/ha/year organic N adopting increased P build-up application rates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843"/>
        <w:gridCol w:w="1701"/>
        <w:gridCol w:w="1559"/>
        <w:gridCol w:w="1479"/>
      </w:tblGrid>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Grassland stocking rate</w:t>
            </w:r>
            <w:r w:rsidRPr="00CD79C7">
              <w:rPr>
                <w:sz w:val="18"/>
                <w:szCs w:val="18"/>
                <w:vertAlign w:val="superscript"/>
              </w:rPr>
              <w:t>1</w:t>
            </w:r>
            <w:r w:rsidRPr="00CD79C7">
              <w:rPr>
                <w:sz w:val="18"/>
                <w:szCs w:val="18"/>
              </w:rPr>
              <w:t xml:space="preserve"> (kg/ha/year)</w:t>
            </w:r>
          </w:p>
        </w:tc>
        <w:tc>
          <w:tcPr>
            <w:tcW w:w="6582" w:type="dxa"/>
            <w:gridSpan w:val="4"/>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Phosphorus Index</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3</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4</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p>
        </w:tc>
        <w:tc>
          <w:tcPr>
            <w:tcW w:w="6582" w:type="dxa"/>
            <w:gridSpan w:val="4"/>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 xml:space="preserve">Available Phosphorus (kg/ha) </w:t>
            </w:r>
            <w:r w:rsidRPr="00CD79C7">
              <w:rPr>
                <w:sz w:val="18"/>
                <w:szCs w:val="18"/>
                <w:vertAlign w:val="superscript"/>
              </w:rPr>
              <w:t>2,3,6</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131-170</w:t>
            </w:r>
          </w:p>
        </w:tc>
        <w:tc>
          <w:tcPr>
            <w:tcW w:w="1843"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63</w:t>
            </w:r>
          </w:p>
        </w:tc>
        <w:tc>
          <w:tcPr>
            <w:tcW w:w="1701" w:type="dxa"/>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sz w:val="18"/>
                <w:szCs w:val="18"/>
              </w:rPr>
              <w:t>43</w:t>
            </w:r>
          </w:p>
        </w:tc>
        <w:tc>
          <w:tcPr>
            <w:tcW w:w="1559" w:type="dxa"/>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sz w:val="18"/>
                <w:szCs w:val="18"/>
              </w:rPr>
              <w:t>13</w:t>
            </w:r>
          </w:p>
        </w:tc>
        <w:tc>
          <w:tcPr>
            <w:tcW w:w="1479" w:type="dxa"/>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9242" w:type="dxa"/>
            <w:gridSpan w:val="5"/>
            <w:tcBorders>
              <w:top w:val="single" w:sz="4" w:space="0" w:color="auto"/>
              <w:left w:val="nil"/>
              <w:bottom w:val="single" w:sz="4" w:space="0" w:color="auto"/>
              <w:right w:val="nil"/>
            </w:tcBorders>
          </w:tcPr>
          <w:p w:rsidR="00CD79C7" w:rsidRPr="00CD79C7" w:rsidRDefault="00CD79C7" w:rsidP="00CD79C7">
            <w:pPr>
              <w:ind w:left="720"/>
              <w:jc w:val="center"/>
              <w:rPr>
                <w:sz w:val="18"/>
                <w:szCs w:val="18"/>
              </w:rPr>
            </w:pPr>
            <w:r w:rsidRPr="00CD79C7">
              <w:rPr>
                <w:rFonts w:cs="TimesTen-Roman"/>
                <w:sz w:val="18"/>
                <w:szCs w:val="18"/>
              </w:rPr>
              <w:t>Grassland stocking rate greater than 170 kg/ha/year</w:t>
            </w:r>
            <w:r w:rsidRPr="00CD79C7">
              <w:rPr>
                <w:rFonts w:cs="TimesTen-Roman"/>
                <w:sz w:val="18"/>
                <w:szCs w:val="18"/>
                <w:vertAlign w:val="superscript"/>
              </w:rPr>
              <w:t>4,5</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171-210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66</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46</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16</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211-250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69</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49</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19</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2660" w:type="dxa"/>
            <w:tcBorders>
              <w:top w:val="single" w:sz="4" w:space="0" w:color="auto"/>
              <w:left w:val="nil"/>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&gt;250</w:t>
            </w:r>
          </w:p>
        </w:tc>
        <w:tc>
          <w:tcPr>
            <w:tcW w:w="1843"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69</w:t>
            </w:r>
          </w:p>
        </w:tc>
        <w:tc>
          <w:tcPr>
            <w:tcW w:w="1701"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49</w:t>
            </w:r>
          </w:p>
        </w:tc>
        <w:tc>
          <w:tcPr>
            <w:tcW w:w="1559" w:type="dxa"/>
            <w:tcBorders>
              <w:top w:val="single" w:sz="4" w:space="0" w:color="auto"/>
              <w:left w:val="single" w:sz="4" w:space="0" w:color="auto"/>
              <w:bottom w:val="single" w:sz="4" w:space="0" w:color="auto"/>
              <w:right w:val="single" w:sz="4" w:space="0" w:color="auto"/>
            </w:tcBorders>
          </w:tcPr>
          <w:p w:rsidR="00CD79C7" w:rsidRPr="00CD79C7" w:rsidRDefault="00CD79C7" w:rsidP="00CD79C7">
            <w:pPr>
              <w:ind w:left="720"/>
              <w:jc w:val="center"/>
              <w:rPr>
                <w:sz w:val="18"/>
                <w:szCs w:val="18"/>
              </w:rPr>
            </w:pPr>
            <w:r w:rsidRPr="00CD79C7">
              <w:rPr>
                <w:sz w:val="18"/>
                <w:szCs w:val="18"/>
              </w:rPr>
              <w:t>19</w:t>
            </w:r>
          </w:p>
        </w:tc>
        <w:tc>
          <w:tcPr>
            <w:tcW w:w="1479" w:type="dxa"/>
            <w:tcBorders>
              <w:top w:val="single" w:sz="4" w:space="0" w:color="auto"/>
              <w:left w:val="single" w:sz="4" w:space="0" w:color="auto"/>
              <w:bottom w:val="single" w:sz="4" w:space="0" w:color="auto"/>
              <w:right w:val="nil"/>
            </w:tcBorders>
          </w:tcPr>
          <w:p w:rsidR="00CD79C7" w:rsidRPr="00CD79C7" w:rsidRDefault="00CD79C7" w:rsidP="00CD79C7">
            <w:pPr>
              <w:ind w:left="720"/>
              <w:jc w:val="center"/>
              <w:rPr>
                <w:sz w:val="18"/>
                <w:szCs w:val="18"/>
              </w:rPr>
            </w:pPr>
            <w:r w:rsidRPr="00CD79C7">
              <w:rPr>
                <w:sz w:val="18"/>
                <w:szCs w:val="18"/>
              </w:rPr>
              <w:t>0</w:t>
            </w:r>
          </w:p>
        </w:tc>
      </w:tr>
      <w:tr w:rsidR="00CD79C7" w:rsidRPr="00CD79C7" w:rsidTr="00CD79C7">
        <w:tc>
          <w:tcPr>
            <w:tcW w:w="9242" w:type="dxa"/>
            <w:gridSpan w:val="5"/>
            <w:tcBorders>
              <w:top w:val="single" w:sz="4" w:space="0" w:color="auto"/>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1</w:t>
            </w:r>
            <w:r w:rsidRPr="00CD79C7">
              <w:rPr>
                <w:rFonts w:cs="TimesTen-Roman"/>
                <w:sz w:val="18"/>
                <w:szCs w:val="18"/>
              </w:rPr>
              <w:t>Total annual nitrogen (kg) excreted by grazing livestock averaged over the eligible grassland area (grazing and silage area). Stocking rate refers to grassland area only.</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2</w:t>
            </w:r>
            <w:r w:rsidRPr="00CD79C7">
              <w:rPr>
                <w:rFonts w:cs="TimesTen-Roman"/>
                <w:sz w:val="18"/>
                <w:szCs w:val="18"/>
              </w:rPr>
              <w:t>The fertilisation rates for soils which have more than 20% organic matter shall not exceed the amounts permitted for Index 3 soils.</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3</w:t>
            </w:r>
            <w:r w:rsidRPr="00CD79C7">
              <w:rPr>
                <w:rFonts w:cs="TimesTen-Roman"/>
                <w:sz w:val="18"/>
                <w:szCs w:val="18"/>
              </w:rPr>
              <w:t>Manure produced by grazing livestock on a holding may be applied to Index 4 soils on that holding in a situation where there is a surplus of such manure remaining after the phosphorus fertilisation needs of all crops on soils at phosphorus indices 1, 2 or 3 on the holding have been met by the use only of such manure produced on the holding.</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4</w:t>
            </w:r>
            <w:r w:rsidRPr="00CD79C7">
              <w:rPr>
                <w:rFonts w:cs="TimesTen-Roman"/>
                <w:sz w:val="18"/>
                <w:szCs w:val="18"/>
              </w:rPr>
              <w:t>The maximum phosphorus fertilisation of grassland shall not exceed that specified for stocking rates less than or equal to 170 kg/ha/year unless a minimum of 5% of the eligible area of the holding is used to grow crops other than grass or a derogation applies in respect of the holding.</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5</w:t>
            </w:r>
            <w:r w:rsidRPr="00CD79C7">
              <w:rPr>
                <w:rFonts w:cs="TimesTen-Roman"/>
                <w:sz w:val="18"/>
                <w:szCs w:val="18"/>
              </w:rPr>
              <w:t>This table does not imply any departure from Article 20(1) which prohibits the application to land on a holding of livestock manure in amounts which exceed 170kg Nitrogen per hectare per year, including that deposited by the animals themselves (or 250kg in the case of a holding to which a derogation has been granted in accordance with the Nitrates Directive).</w:t>
            </w:r>
          </w:p>
        </w:tc>
      </w:tr>
      <w:tr w:rsidR="00CD79C7" w:rsidRPr="00CD79C7" w:rsidTr="00CD79C7">
        <w:tc>
          <w:tcPr>
            <w:tcW w:w="9242" w:type="dxa"/>
            <w:gridSpan w:val="5"/>
            <w:tcBorders>
              <w:top w:val="nil"/>
              <w:left w:val="nil"/>
              <w:bottom w:val="nil"/>
              <w:right w:val="nil"/>
            </w:tcBorders>
          </w:tcPr>
          <w:p w:rsidR="00CD79C7" w:rsidRPr="00CD79C7" w:rsidRDefault="00CD79C7" w:rsidP="002128CD">
            <w:pPr>
              <w:autoSpaceDE w:val="0"/>
              <w:autoSpaceDN w:val="0"/>
              <w:adjustRightInd w:val="0"/>
              <w:ind w:left="720"/>
              <w:jc w:val="both"/>
              <w:rPr>
                <w:rFonts w:cs="TimesTen-Roman"/>
                <w:sz w:val="18"/>
                <w:szCs w:val="18"/>
              </w:rPr>
            </w:pPr>
            <w:r w:rsidRPr="00CD79C7">
              <w:rPr>
                <w:rFonts w:cs="TimesTen-Roman"/>
                <w:sz w:val="18"/>
                <w:szCs w:val="18"/>
                <w:vertAlign w:val="superscript"/>
              </w:rPr>
              <w:t>6</w:t>
            </w:r>
            <w:r w:rsidRPr="00CD79C7">
              <w:rPr>
                <w:rFonts w:cs="TimesTen-Roman"/>
                <w:sz w:val="18"/>
                <w:szCs w:val="18"/>
              </w:rPr>
              <w:t>An additional 15 kg of phosphorus per hectare may be applied on soils at phosphorus indices 1, 2, or 3 for each hectare of pasture establishment undertaken.</w:t>
            </w:r>
          </w:p>
        </w:tc>
      </w:tr>
    </w:tbl>
    <w:p w:rsidR="00CD79C7" w:rsidRPr="00CD79C7" w:rsidRDefault="00CD79C7" w:rsidP="00CD79C7">
      <w:pPr>
        <w:rPr>
          <w:sz w:val="18"/>
          <w:szCs w:val="18"/>
        </w:rPr>
      </w:pPr>
    </w:p>
    <w:p w:rsidR="00CD79C7" w:rsidRPr="00CD79C7" w:rsidRDefault="00CD79C7" w:rsidP="00CD79C7">
      <w:pPr>
        <w:rPr>
          <w:sz w:val="18"/>
          <w:szCs w:val="18"/>
        </w:rPr>
      </w:pPr>
    </w:p>
    <w:p w:rsidR="003801C9" w:rsidRDefault="003801C9" w:rsidP="00F66B69">
      <w:pPr>
        <w:jc w:val="center"/>
        <w:rPr>
          <w:rFonts w:cs="Calibri"/>
          <w:b/>
          <w:u w:val="single"/>
        </w:rPr>
      </w:pPr>
    </w:p>
    <w:p w:rsidR="00A92EFC" w:rsidRDefault="00A92EFC" w:rsidP="00F66B69">
      <w:pPr>
        <w:jc w:val="center"/>
        <w:rPr>
          <w:rFonts w:cs="Calibri"/>
          <w:b/>
          <w:u w:val="single"/>
        </w:rPr>
      </w:pPr>
    </w:p>
    <w:p w:rsidR="00CD79C7" w:rsidRDefault="00CD79C7" w:rsidP="00F66B69">
      <w:pPr>
        <w:jc w:val="center"/>
        <w:rPr>
          <w:rFonts w:cs="Calibri"/>
          <w:b/>
          <w:u w:val="single"/>
        </w:rPr>
      </w:pPr>
    </w:p>
    <w:p w:rsidR="00CD79C7" w:rsidRDefault="00CD79C7" w:rsidP="00F66B69">
      <w:pPr>
        <w:jc w:val="center"/>
        <w:rPr>
          <w:rFonts w:cs="Calibri"/>
          <w:b/>
          <w:u w:val="single"/>
        </w:rPr>
      </w:pPr>
    </w:p>
    <w:p w:rsidR="00CD79C7" w:rsidRDefault="00CD79C7" w:rsidP="00F66B69">
      <w:pPr>
        <w:jc w:val="center"/>
        <w:rPr>
          <w:rFonts w:cs="Calibri"/>
          <w:b/>
          <w:u w:val="single"/>
        </w:rPr>
      </w:pPr>
    </w:p>
    <w:p w:rsidR="00D137AD" w:rsidRDefault="00D137AD" w:rsidP="00D0080A">
      <w:pPr>
        <w:jc w:val="center"/>
        <w:rPr>
          <w:rFonts w:cs="Calibri"/>
          <w:b/>
          <w:u w:val="single"/>
        </w:rPr>
      </w:pPr>
    </w:p>
    <w:p w:rsidR="00D0080A" w:rsidRDefault="00D0080A" w:rsidP="00D0080A">
      <w:pPr>
        <w:jc w:val="center"/>
        <w:rPr>
          <w:rFonts w:cs="Calibri"/>
          <w:b/>
          <w:u w:val="single"/>
        </w:rPr>
      </w:pPr>
      <w:r w:rsidRPr="00E010E4">
        <w:rPr>
          <w:rFonts w:cs="Calibri"/>
          <w:b/>
          <w:u w:val="single"/>
        </w:rPr>
        <w:t xml:space="preserve">Appendix </w:t>
      </w:r>
      <w:r w:rsidR="004B22C1" w:rsidRPr="00E010E4">
        <w:rPr>
          <w:rFonts w:cs="Calibri"/>
          <w:b/>
          <w:u w:val="single"/>
        </w:rPr>
        <w:t>4</w:t>
      </w:r>
      <w:r w:rsidRPr="00E010E4">
        <w:rPr>
          <w:rFonts w:cs="Calibri"/>
          <w:b/>
          <w:u w:val="single"/>
        </w:rPr>
        <w:t>: Summary of proposed changes to Nitrates Action Programme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5165"/>
      </w:tblGrid>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Bovine Exclusion from watercourses on farms with grassland stocking rates above 170kg N/ha</w:t>
            </w:r>
          </w:p>
        </w:tc>
        <w:tc>
          <w:tcPr>
            <w:tcW w:w="5165" w:type="dxa"/>
            <w:shd w:val="clear" w:color="auto" w:fill="auto"/>
          </w:tcPr>
          <w:p w:rsidR="001A3307" w:rsidRPr="00E010E4" w:rsidRDefault="001A3307" w:rsidP="001A3307">
            <w:pPr>
              <w:numPr>
                <w:ilvl w:val="0"/>
                <w:numId w:val="9"/>
              </w:numPr>
              <w:rPr>
                <w:rFonts w:cs="Calibri"/>
              </w:rPr>
            </w:pPr>
            <w:r w:rsidRPr="00E010E4">
              <w:rPr>
                <w:rFonts w:cs="Calibri"/>
              </w:rPr>
              <w:t>Will come into effect from 1 Jan 2021</w:t>
            </w:r>
          </w:p>
          <w:p w:rsidR="001A3307" w:rsidRPr="00E010E4" w:rsidRDefault="001A3307" w:rsidP="001A3307">
            <w:pPr>
              <w:numPr>
                <w:ilvl w:val="0"/>
                <w:numId w:val="9"/>
              </w:numPr>
              <w:rPr>
                <w:rFonts w:cs="Calibri"/>
              </w:rPr>
            </w:pPr>
            <w:r w:rsidRPr="00E010E4">
              <w:rPr>
                <w:rFonts w:cs="Calibri"/>
              </w:rPr>
              <w:t>Watercourses to be fenced off</w:t>
            </w:r>
          </w:p>
          <w:p w:rsidR="001A3307" w:rsidRPr="00E010E4" w:rsidRDefault="001A3307" w:rsidP="001A3307">
            <w:pPr>
              <w:numPr>
                <w:ilvl w:val="0"/>
                <w:numId w:val="9"/>
              </w:numPr>
              <w:rPr>
                <w:rFonts w:cs="Calibri"/>
              </w:rPr>
            </w:pPr>
            <w:r w:rsidRPr="00E010E4">
              <w:rPr>
                <w:rFonts w:cs="Calibri"/>
              </w:rPr>
              <w:t>Alternative livestock drinking sources as required</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Prevention of direct run-off from farm roadways to water</w:t>
            </w:r>
          </w:p>
        </w:tc>
        <w:tc>
          <w:tcPr>
            <w:tcW w:w="5165" w:type="dxa"/>
            <w:shd w:val="clear" w:color="auto" w:fill="auto"/>
          </w:tcPr>
          <w:p w:rsidR="001A3307" w:rsidRPr="00E010E4" w:rsidRDefault="001A3307" w:rsidP="001A3307">
            <w:pPr>
              <w:numPr>
                <w:ilvl w:val="0"/>
                <w:numId w:val="10"/>
              </w:numPr>
              <w:rPr>
                <w:rFonts w:cs="Calibri"/>
              </w:rPr>
            </w:pPr>
            <w:r w:rsidRPr="00E010E4">
              <w:rPr>
                <w:rFonts w:cs="Calibri"/>
              </w:rPr>
              <w:t>Will come into effect from 1 Jan 2021</w:t>
            </w:r>
          </w:p>
          <w:p w:rsidR="001A3307" w:rsidRPr="00E010E4" w:rsidRDefault="001A3307" w:rsidP="001A3307">
            <w:pPr>
              <w:numPr>
                <w:ilvl w:val="0"/>
                <w:numId w:val="10"/>
              </w:numPr>
              <w:rPr>
                <w:rFonts w:cs="Calibri"/>
              </w:rPr>
            </w:pPr>
            <w:r w:rsidRPr="00E010E4">
              <w:rPr>
                <w:rFonts w:cs="Calibri"/>
              </w:rPr>
              <w:t>Guidance will be provided by means of a farm roadway</w:t>
            </w:r>
            <w:r w:rsidR="00F95179">
              <w:rPr>
                <w:rFonts w:cs="Calibri"/>
              </w:rPr>
              <w:t xml:space="preserve"> specification</w:t>
            </w:r>
          </w:p>
          <w:p w:rsidR="001A3307" w:rsidRPr="00E010E4" w:rsidRDefault="001A3307" w:rsidP="001A3307">
            <w:pPr>
              <w:numPr>
                <w:ilvl w:val="0"/>
                <w:numId w:val="10"/>
              </w:numPr>
              <w:rPr>
                <w:rFonts w:cs="Calibri"/>
              </w:rPr>
            </w:pPr>
            <w:r w:rsidRPr="00E010E4">
              <w:rPr>
                <w:rFonts w:cs="Calibri"/>
              </w:rPr>
              <w:t>Farmers will receive KT programmes</w:t>
            </w:r>
          </w:p>
          <w:p w:rsidR="001A3307" w:rsidRPr="00E010E4" w:rsidRDefault="001A3307" w:rsidP="001A3307">
            <w:pPr>
              <w:numPr>
                <w:ilvl w:val="0"/>
                <w:numId w:val="10"/>
              </w:numPr>
              <w:rPr>
                <w:rFonts w:cs="Calibri"/>
              </w:rPr>
            </w:pPr>
            <w:r w:rsidRPr="00E010E4">
              <w:rPr>
                <w:rFonts w:cs="Calibri"/>
              </w:rPr>
              <w:t>Comprehensive training will be provided for advisers</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Livestock drinking points</w:t>
            </w:r>
          </w:p>
        </w:tc>
        <w:tc>
          <w:tcPr>
            <w:tcW w:w="5165" w:type="dxa"/>
            <w:shd w:val="clear" w:color="auto" w:fill="auto"/>
          </w:tcPr>
          <w:p w:rsidR="001A3307" w:rsidRPr="00E010E4" w:rsidRDefault="001A3307" w:rsidP="001A3307">
            <w:pPr>
              <w:numPr>
                <w:ilvl w:val="0"/>
                <w:numId w:val="11"/>
              </w:numPr>
              <w:rPr>
                <w:rFonts w:cs="Calibri"/>
              </w:rPr>
            </w:pPr>
            <w:r w:rsidRPr="00E010E4">
              <w:rPr>
                <w:rFonts w:cs="Calibri"/>
              </w:rPr>
              <w:t>Will come into effect from 1 Jan 2021</w:t>
            </w:r>
          </w:p>
          <w:p w:rsidR="001A3307" w:rsidRPr="00E010E4" w:rsidRDefault="001A3307" w:rsidP="001A3307">
            <w:pPr>
              <w:numPr>
                <w:ilvl w:val="0"/>
                <w:numId w:val="11"/>
              </w:numPr>
              <w:rPr>
                <w:rFonts w:cs="Calibri"/>
              </w:rPr>
            </w:pPr>
            <w:r w:rsidRPr="00E010E4">
              <w:rPr>
                <w:rFonts w:cs="Calibri"/>
              </w:rPr>
              <w:t xml:space="preserve">Drinking points must not be located within 20m of waters on farms with grassland stocking rates of above 170kg N/ha </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Adoption of appropriate phosphorus build-up rates for farmed soil</w:t>
            </w:r>
          </w:p>
        </w:tc>
        <w:tc>
          <w:tcPr>
            <w:tcW w:w="5165" w:type="dxa"/>
            <w:shd w:val="clear" w:color="auto" w:fill="auto"/>
          </w:tcPr>
          <w:p w:rsidR="001A3307" w:rsidRPr="00E010E4" w:rsidRDefault="001A3307" w:rsidP="001A3307">
            <w:pPr>
              <w:numPr>
                <w:ilvl w:val="0"/>
                <w:numId w:val="11"/>
              </w:numPr>
              <w:rPr>
                <w:rFonts w:cs="Calibri"/>
              </w:rPr>
            </w:pPr>
            <w:r w:rsidRPr="00E010E4">
              <w:rPr>
                <w:rFonts w:cs="Calibri"/>
              </w:rPr>
              <w:t>Update of table 12 and 13</w:t>
            </w:r>
            <w:r w:rsidR="000E76BA">
              <w:rPr>
                <w:rFonts w:cs="Calibri"/>
              </w:rPr>
              <w:t>a and insertion of new table 13b</w:t>
            </w:r>
            <w:r w:rsidRPr="00E010E4">
              <w:rPr>
                <w:rFonts w:cs="Calibri"/>
              </w:rPr>
              <w:t xml:space="preserve"> </w:t>
            </w:r>
          </w:p>
          <w:p w:rsidR="001A3307" w:rsidRPr="00E010E4" w:rsidRDefault="001A3307" w:rsidP="001A3307">
            <w:pPr>
              <w:numPr>
                <w:ilvl w:val="0"/>
                <w:numId w:val="11"/>
              </w:numPr>
              <w:rPr>
                <w:rFonts w:cs="Calibri"/>
              </w:rPr>
            </w:pPr>
            <w:r w:rsidRPr="00E010E4">
              <w:rPr>
                <w:rFonts w:cs="Calibri"/>
              </w:rPr>
              <w:t>For soils at P Index 1, the maximum build-up allowance, in addition to crop requirement to be increased to 50kg/ha</w:t>
            </w:r>
          </w:p>
          <w:p w:rsidR="001A3307" w:rsidRPr="00E010E4" w:rsidRDefault="001A3307" w:rsidP="00F95179">
            <w:pPr>
              <w:numPr>
                <w:ilvl w:val="0"/>
                <w:numId w:val="11"/>
              </w:numPr>
              <w:rPr>
                <w:rFonts w:cs="Calibri"/>
              </w:rPr>
            </w:pPr>
            <w:r w:rsidRPr="00E010E4">
              <w:rPr>
                <w:rFonts w:cs="Calibri"/>
              </w:rPr>
              <w:t>For soils at P Index 2, the maximum build-up allowance, in addition to crop requirement to be increased to 30kg/ha</w:t>
            </w:r>
          </w:p>
        </w:tc>
      </w:tr>
      <w:tr w:rsidR="001A3307" w:rsidRPr="00E010E4" w:rsidTr="00E010E4">
        <w:tc>
          <w:tcPr>
            <w:tcW w:w="4077" w:type="dxa"/>
            <w:shd w:val="clear" w:color="auto" w:fill="auto"/>
          </w:tcPr>
          <w:p w:rsidR="001A3307" w:rsidRPr="00E010E4" w:rsidRDefault="0083038E" w:rsidP="00E010E4">
            <w:pPr>
              <w:rPr>
                <w:rFonts w:cs="Calibri"/>
              </w:rPr>
            </w:pPr>
            <w:r>
              <w:rPr>
                <w:rFonts w:cs="Calibri"/>
              </w:rPr>
              <w:t>Facilitate the use of pig slurry to meet phosphorus requirements</w:t>
            </w:r>
          </w:p>
        </w:tc>
        <w:tc>
          <w:tcPr>
            <w:tcW w:w="5165" w:type="dxa"/>
            <w:shd w:val="clear" w:color="auto" w:fill="auto"/>
          </w:tcPr>
          <w:p w:rsidR="009C083F" w:rsidRPr="009C083F" w:rsidRDefault="001A3307" w:rsidP="0083038E">
            <w:pPr>
              <w:numPr>
                <w:ilvl w:val="0"/>
                <w:numId w:val="10"/>
              </w:numPr>
              <w:rPr>
                <w:rFonts w:cs="Calibri"/>
              </w:rPr>
            </w:pPr>
            <w:r w:rsidRPr="00E010E4">
              <w:rPr>
                <w:rFonts w:cs="Calibri"/>
              </w:rPr>
              <w:t xml:space="preserve">Permit the importation and application of pig manures </w:t>
            </w:r>
            <w:r w:rsidR="0083038E">
              <w:rPr>
                <w:rFonts w:cs="Calibri"/>
              </w:rPr>
              <w:t>for those farmers with a stocking rate &gt; 130 kgs ha</w:t>
            </w:r>
            <w:r w:rsidR="00206104">
              <w:rPr>
                <w:rFonts w:cs="Calibri"/>
              </w:rPr>
              <w:t xml:space="preserve"> </w:t>
            </w:r>
            <w:r w:rsidR="0083038E">
              <w:rPr>
                <w:rFonts w:cs="Calibri"/>
              </w:rPr>
              <w:t>to meet crop phosphorus requirement. A limit of 250 kg N/ha from livestock manure would apply</w:t>
            </w:r>
            <w:r w:rsidR="00F0012E">
              <w:rPr>
                <w:rFonts w:cs="Calibri"/>
              </w:rPr>
              <w:t xml:space="preserve">.  </w:t>
            </w:r>
            <w:r w:rsidR="003B29FB">
              <w:rPr>
                <w:rFonts w:cs="Calibri"/>
              </w:rPr>
              <w:t>It is recognised there may be constraints within the Nitrates Directive to this approach.</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Simplification of calculations of maximum fertiliser N and P allowance</w:t>
            </w:r>
          </w:p>
        </w:tc>
        <w:tc>
          <w:tcPr>
            <w:tcW w:w="5165" w:type="dxa"/>
            <w:shd w:val="clear" w:color="auto" w:fill="auto"/>
          </w:tcPr>
          <w:p w:rsidR="001A3307" w:rsidRPr="00E010E4" w:rsidRDefault="001A3307" w:rsidP="001A3307">
            <w:pPr>
              <w:numPr>
                <w:ilvl w:val="0"/>
                <w:numId w:val="8"/>
              </w:numPr>
              <w:rPr>
                <w:rFonts w:cs="Calibri"/>
              </w:rPr>
            </w:pPr>
            <w:r w:rsidRPr="00E010E4">
              <w:rPr>
                <w:rFonts w:cs="Calibri"/>
              </w:rPr>
              <w:t xml:space="preserve">Removal of stored grazing livestock manure N and P from the calculation of farm P balance and for calculating maximum chemical </w:t>
            </w:r>
            <w:r w:rsidRPr="00E010E4">
              <w:rPr>
                <w:rFonts w:cs="Calibri"/>
              </w:rPr>
              <w:lastRenderedPageBreak/>
              <w:t>nitrogen and phosphorus allowed onto a holding</w:t>
            </w:r>
          </w:p>
          <w:p w:rsidR="001A3307" w:rsidRPr="00E010E4" w:rsidRDefault="001A3307" w:rsidP="001A3307">
            <w:pPr>
              <w:numPr>
                <w:ilvl w:val="0"/>
                <w:numId w:val="8"/>
              </w:numPr>
              <w:rPr>
                <w:rFonts w:cs="Calibri"/>
              </w:rPr>
            </w:pPr>
            <w:r w:rsidRPr="00E010E4">
              <w:rPr>
                <w:rFonts w:cs="Calibri"/>
              </w:rPr>
              <w:t>Nutrient management plans to be based on the previous years’ data to enable more efficient forward planning</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lastRenderedPageBreak/>
              <w:t>Implementation of comprehensive knowledge transfer Programme for farmers availing of increased phosphorus build up allowances.</w:t>
            </w:r>
          </w:p>
        </w:tc>
        <w:tc>
          <w:tcPr>
            <w:tcW w:w="5165" w:type="dxa"/>
            <w:shd w:val="clear" w:color="auto" w:fill="auto"/>
          </w:tcPr>
          <w:p w:rsidR="001A3307" w:rsidRPr="00E010E4" w:rsidRDefault="001A3307" w:rsidP="001A3307">
            <w:pPr>
              <w:numPr>
                <w:ilvl w:val="0"/>
                <w:numId w:val="8"/>
              </w:numPr>
              <w:rPr>
                <w:rFonts w:cs="Calibri"/>
              </w:rPr>
            </w:pPr>
            <w:r w:rsidRPr="00E010E4">
              <w:rPr>
                <w:rFonts w:cs="Calibri"/>
              </w:rPr>
              <w:t xml:space="preserve"> Knowledge transfer programme based on nutrient management, gauging P loss and NMP adoption and implementation</w:t>
            </w:r>
          </w:p>
        </w:tc>
      </w:tr>
      <w:tr w:rsidR="00206104" w:rsidRPr="00E010E4" w:rsidTr="00E010E4">
        <w:tc>
          <w:tcPr>
            <w:tcW w:w="4077" w:type="dxa"/>
            <w:shd w:val="clear" w:color="auto" w:fill="auto"/>
          </w:tcPr>
          <w:p w:rsidR="00206104" w:rsidRPr="00E010E4" w:rsidRDefault="00206104" w:rsidP="00E010E4">
            <w:pPr>
              <w:rPr>
                <w:rFonts w:cs="Calibri"/>
              </w:rPr>
            </w:pPr>
            <w:r>
              <w:rPr>
                <w:rFonts w:cs="Calibri"/>
                <w:lang w:eastAsia="en-IE"/>
              </w:rPr>
              <w:t>C</w:t>
            </w:r>
            <w:r w:rsidRPr="00F168A9">
              <w:rPr>
                <w:rFonts w:cs="Calibri"/>
                <w:lang w:eastAsia="en-IE"/>
              </w:rPr>
              <w:t>o</w:t>
            </w:r>
            <w:r>
              <w:rPr>
                <w:rFonts w:cs="Calibri"/>
                <w:lang w:eastAsia="en-IE"/>
              </w:rPr>
              <w:t>llaborative approach involving S</w:t>
            </w:r>
            <w:r w:rsidRPr="00F168A9">
              <w:rPr>
                <w:rFonts w:cs="Calibri"/>
                <w:lang w:eastAsia="en-IE"/>
              </w:rPr>
              <w:t>tate agencies and the farming sector be adopted aimed at bringing about behavioural change within the farming sector in order to achieve sustainable farming practices and positive environmental outcomes</w:t>
            </w:r>
          </w:p>
        </w:tc>
        <w:tc>
          <w:tcPr>
            <w:tcW w:w="5165" w:type="dxa"/>
            <w:shd w:val="clear" w:color="auto" w:fill="auto"/>
          </w:tcPr>
          <w:p w:rsidR="00206104" w:rsidRPr="00F0012E" w:rsidRDefault="00206104" w:rsidP="00F0012E">
            <w:pPr>
              <w:pStyle w:val="ListParagraph"/>
              <w:numPr>
                <w:ilvl w:val="0"/>
                <w:numId w:val="8"/>
              </w:numPr>
              <w:spacing w:before="100" w:beforeAutospacing="1" w:after="100" w:afterAutospacing="1" w:line="240" w:lineRule="auto"/>
              <w:ind w:left="714" w:hanging="357"/>
              <w:jc w:val="both"/>
              <w:rPr>
                <w:rFonts w:cs="Calibri"/>
                <w:lang w:eastAsia="en-IE"/>
              </w:rPr>
            </w:pPr>
            <w:r w:rsidRPr="00F0012E">
              <w:rPr>
                <w:rFonts w:cs="Calibri"/>
                <w:lang w:eastAsia="en-IE"/>
              </w:rPr>
              <w:t xml:space="preserve">An environmental inspection protocol for farm holdings to be followed by local authorities will be developed by the Minister for Housing Planning and Local Government in consultation with the Minister for Agriculture, Food and the Marine and other parties, as appropriate. </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Phosphorus application period and nutrient allowances</w:t>
            </w:r>
          </w:p>
        </w:tc>
        <w:tc>
          <w:tcPr>
            <w:tcW w:w="5165" w:type="dxa"/>
            <w:shd w:val="clear" w:color="auto" w:fill="auto"/>
          </w:tcPr>
          <w:p w:rsidR="001A3307" w:rsidRPr="00E010E4" w:rsidRDefault="001A3307" w:rsidP="001A3307">
            <w:pPr>
              <w:numPr>
                <w:ilvl w:val="0"/>
                <w:numId w:val="10"/>
              </w:numPr>
              <w:rPr>
                <w:rFonts w:cs="Calibri"/>
              </w:rPr>
            </w:pPr>
            <w:r w:rsidRPr="00E010E4">
              <w:rPr>
                <w:rFonts w:cs="Calibri"/>
              </w:rPr>
              <w:t>Phosphorus to be incorporated into the soil at or before sowing of winter cereals</w:t>
            </w:r>
          </w:p>
          <w:p w:rsidR="001A3307" w:rsidRPr="00E010E4" w:rsidRDefault="001A3307" w:rsidP="001A3307">
            <w:pPr>
              <w:numPr>
                <w:ilvl w:val="0"/>
                <w:numId w:val="10"/>
              </w:numPr>
              <w:rPr>
                <w:rFonts w:cs="Calibri"/>
              </w:rPr>
            </w:pPr>
            <w:r w:rsidRPr="00E010E4">
              <w:rPr>
                <w:rFonts w:cs="Calibri"/>
              </w:rPr>
              <w:t>Application of 20kg/ha of fertiliser P be permitted to be applied to winter cereals at Soil index 1 and 2 where such application takes place before October 31st</w:t>
            </w:r>
          </w:p>
          <w:p w:rsidR="001A3307" w:rsidRPr="00E010E4" w:rsidRDefault="001A3307" w:rsidP="001A3307">
            <w:pPr>
              <w:numPr>
                <w:ilvl w:val="0"/>
                <w:numId w:val="10"/>
              </w:numPr>
              <w:rPr>
                <w:rFonts w:cs="Calibri"/>
              </w:rPr>
            </w:pPr>
            <w:r w:rsidRPr="00E010E4">
              <w:rPr>
                <w:rFonts w:cs="Calibri"/>
              </w:rPr>
              <w:t>The  allowable N and P  limits for potato crops be brought in line with recommendations in the Teagasc Green Book</w:t>
            </w:r>
          </w:p>
          <w:p w:rsidR="001A3307" w:rsidRPr="00E010E4" w:rsidRDefault="001A3307" w:rsidP="001A3307">
            <w:pPr>
              <w:numPr>
                <w:ilvl w:val="0"/>
                <w:numId w:val="10"/>
              </w:numPr>
              <w:rPr>
                <w:rFonts w:cs="Calibri"/>
              </w:rPr>
            </w:pPr>
            <w:r w:rsidRPr="00E010E4">
              <w:rPr>
                <w:rFonts w:cs="Calibri"/>
              </w:rPr>
              <w:t>The  allowable N and P  limits for vegetable crops be brought in line with recommendations in the Teagasc Green Book</w:t>
            </w:r>
          </w:p>
        </w:tc>
      </w:tr>
      <w:tr w:rsidR="001A3307" w:rsidRPr="00E010E4" w:rsidTr="0074223A">
        <w:trPr>
          <w:trHeight w:val="2665"/>
        </w:trPr>
        <w:tc>
          <w:tcPr>
            <w:tcW w:w="4077" w:type="dxa"/>
            <w:shd w:val="clear" w:color="auto" w:fill="auto"/>
          </w:tcPr>
          <w:p w:rsidR="001A3307" w:rsidRPr="00E010E4" w:rsidRDefault="001A3307" w:rsidP="00E010E4">
            <w:pPr>
              <w:rPr>
                <w:rFonts w:cs="Calibri"/>
              </w:rPr>
            </w:pPr>
            <w:r w:rsidRPr="00E010E4">
              <w:rPr>
                <w:rFonts w:cs="Calibri"/>
              </w:rPr>
              <w:t>Additional minor and technical changes to the regulations</w:t>
            </w:r>
          </w:p>
        </w:tc>
        <w:tc>
          <w:tcPr>
            <w:tcW w:w="5165" w:type="dxa"/>
            <w:shd w:val="clear" w:color="auto" w:fill="auto"/>
          </w:tcPr>
          <w:p w:rsidR="001A3307" w:rsidRPr="00E010E4" w:rsidRDefault="001A3307" w:rsidP="001A3307">
            <w:pPr>
              <w:numPr>
                <w:ilvl w:val="0"/>
                <w:numId w:val="10"/>
              </w:numPr>
              <w:rPr>
                <w:rFonts w:cs="Calibri"/>
              </w:rPr>
            </w:pPr>
            <w:r w:rsidRPr="00E010E4">
              <w:rPr>
                <w:rFonts w:cs="Calibri"/>
              </w:rPr>
              <w:t>For clarity, reference will be made to silage clamps as well as pits.</w:t>
            </w:r>
          </w:p>
          <w:p w:rsidR="001A3307" w:rsidRPr="00E010E4" w:rsidRDefault="001A3307" w:rsidP="001A3307">
            <w:pPr>
              <w:numPr>
                <w:ilvl w:val="0"/>
                <w:numId w:val="10"/>
              </w:numPr>
              <w:rPr>
                <w:rFonts w:cs="Calibri"/>
              </w:rPr>
            </w:pPr>
            <w:r w:rsidRPr="00E010E4">
              <w:rPr>
                <w:rFonts w:cs="Calibri"/>
              </w:rPr>
              <w:t>Regulation 17 (2)(d), shall be amended to include turloughs likely to flood.</w:t>
            </w:r>
          </w:p>
          <w:p w:rsidR="001A3307" w:rsidRPr="00E010E4" w:rsidRDefault="00A92EFC" w:rsidP="00F0012E">
            <w:pPr>
              <w:numPr>
                <w:ilvl w:val="0"/>
                <w:numId w:val="29"/>
              </w:numPr>
              <w:rPr>
                <w:rFonts w:cs="Calibri"/>
              </w:rPr>
            </w:pPr>
            <w:r>
              <w:rPr>
                <w:rFonts w:cs="Calibri"/>
              </w:rPr>
              <w:t>Article 30 (5) will be amended to - ‘a local authority shall follow the inspection protocol as established by the Minister’.</w:t>
            </w:r>
          </w:p>
        </w:tc>
      </w:tr>
    </w:tbl>
    <w:p w:rsidR="00C40C04" w:rsidRPr="00E010E4" w:rsidRDefault="00C40C04" w:rsidP="0074223A">
      <w:pPr>
        <w:rPr>
          <w:rFonts w:cs="Calibri"/>
          <w:b/>
          <w:u w:val="single"/>
        </w:rPr>
      </w:pPr>
    </w:p>
    <w:sectPr w:rsidR="00C40C04" w:rsidRPr="00E010E4" w:rsidSect="0074223A">
      <w:footerReference w:type="default" r:id="rId9"/>
      <w:pgSz w:w="11906" w:h="16838"/>
      <w:pgMar w:top="1440" w:right="1440" w:bottom="156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5C9" w:rsidRDefault="00B045C9" w:rsidP="00A13724">
      <w:pPr>
        <w:spacing w:after="0" w:line="240" w:lineRule="auto"/>
      </w:pPr>
      <w:r>
        <w:separator/>
      </w:r>
    </w:p>
  </w:endnote>
  <w:endnote w:type="continuationSeparator" w:id="0">
    <w:p w:rsidR="00B045C9" w:rsidRDefault="00B045C9" w:rsidP="00A137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Te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580585"/>
      <w:docPartObj>
        <w:docPartGallery w:val="Page Numbers (Bottom of Page)"/>
        <w:docPartUnique/>
      </w:docPartObj>
    </w:sdtPr>
    <w:sdtEndPr>
      <w:rPr>
        <w:noProof/>
      </w:rPr>
    </w:sdtEndPr>
    <w:sdtContent>
      <w:p w:rsidR="0074223A" w:rsidRDefault="00721B87" w:rsidP="0074223A">
        <w:pPr>
          <w:pStyle w:val="Footer"/>
          <w:jc w:val="center"/>
        </w:pPr>
        <w:r>
          <w:fldChar w:fldCharType="begin"/>
        </w:r>
        <w:r w:rsidR="0074223A">
          <w:instrText xml:space="preserve"> PAGE   \* MERGEFORMAT </w:instrText>
        </w:r>
        <w:r>
          <w:fldChar w:fldCharType="separate"/>
        </w:r>
        <w:r w:rsidR="00571CEE">
          <w:rPr>
            <w:noProof/>
          </w:rPr>
          <w:t>24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5C9" w:rsidRDefault="00B045C9" w:rsidP="00A13724">
      <w:pPr>
        <w:spacing w:after="0" w:line="240" w:lineRule="auto"/>
      </w:pPr>
      <w:r>
        <w:separator/>
      </w:r>
    </w:p>
  </w:footnote>
  <w:footnote w:type="continuationSeparator" w:id="0">
    <w:p w:rsidR="00B045C9" w:rsidRDefault="00B045C9" w:rsidP="00A13724">
      <w:pPr>
        <w:spacing w:after="0" w:line="240" w:lineRule="auto"/>
      </w:pPr>
      <w:r>
        <w:continuationSeparator/>
      </w:r>
    </w:p>
  </w:footnote>
  <w:footnote w:id="1">
    <w:p w:rsidR="00895698" w:rsidRPr="004F570E" w:rsidRDefault="00895698">
      <w:pPr>
        <w:pStyle w:val="FootnoteText"/>
        <w:rPr>
          <w:sz w:val="16"/>
          <w:szCs w:val="16"/>
        </w:rPr>
      </w:pPr>
      <w:r>
        <w:rPr>
          <w:rStyle w:val="FootnoteReference"/>
        </w:rPr>
        <w:footnoteRef/>
      </w:r>
      <w:r>
        <w:t xml:space="preserve"> </w:t>
      </w:r>
      <w:r w:rsidRPr="004F570E">
        <w:rPr>
          <w:sz w:val="16"/>
          <w:szCs w:val="16"/>
        </w:rPr>
        <w:t>Public Consultation on the river basin management plan for Ireland (2018-2021). Department of Housing, Planning, Community and Local Government (February 2017)</w:t>
      </w:r>
    </w:p>
  </w:footnote>
  <w:footnote w:id="2">
    <w:p w:rsidR="00895698" w:rsidRPr="000847C6" w:rsidRDefault="00895698" w:rsidP="00536756">
      <w:pPr>
        <w:pStyle w:val="FootnoteText"/>
        <w:spacing w:after="0"/>
      </w:pPr>
      <w:r>
        <w:rPr>
          <w:rStyle w:val="FootnoteReference"/>
        </w:rPr>
        <w:footnoteRef/>
      </w:r>
      <w:r>
        <w:t xml:space="preserve"> (Source: National report submitted in response to Article 10 of the Nitrates Directive)</w:t>
      </w:r>
    </w:p>
  </w:footnote>
  <w:footnote w:id="3">
    <w:p w:rsidR="00895698" w:rsidRDefault="00895698" w:rsidP="00536756">
      <w:pPr>
        <w:pStyle w:val="FootnoteText"/>
        <w:spacing w:after="0"/>
      </w:pPr>
      <w:r>
        <w:rPr>
          <w:rStyle w:val="FootnoteReference"/>
        </w:rPr>
        <w:footnoteRef/>
      </w:r>
      <w:r>
        <w:t xml:space="preserve"> </w:t>
      </w:r>
      <w:r w:rsidRPr="00442C34">
        <w:t>(Source: EPA report under Article 29(1)(b) of S</w:t>
      </w:r>
      <w:r>
        <w:t>.</w:t>
      </w:r>
      <w:r w:rsidRPr="00442C34">
        <w:t>I</w:t>
      </w:r>
      <w:r>
        <w:t>.</w:t>
      </w:r>
      <w:r w:rsidRPr="00442C34">
        <w:t xml:space="preserve"> </w:t>
      </w:r>
      <w:r>
        <w:t>31</w:t>
      </w:r>
      <w:r w:rsidRPr="00442C34">
        <w:t xml:space="preserve"> (201</w:t>
      </w:r>
      <w:r>
        <w:t>4</w:t>
      </w:r>
      <w:r w:rsidRPr="00442C34">
        <w:t>))</w:t>
      </w:r>
    </w:p>
  </w:footnote>
  <w:footnote w:id="4">
    <w:p w:rsidR="00895698" w:rsidRDefault="00895698" w:rsidP="00536756">
      <w:pPr>
        <w:pStyle w:val="FootnoteText"/>
        <w:spacing w:after="0"/>
      </w:pPr>
      <w:r>
        <w:rPr>
          <w:rStyle w:val="FootnoteReference"/>
        </w:rPr>
        <w:footnoteRef/>
      </w:r>
      <w:r>
        <w:t xml:space="preserve"> (Source: Department of Housing, Planning and Local Government (2017). Draft River Basin Management Plan,</w:t>
      </w:r>
      <w:r w:rsidRPr="00DB02FC">
        <w:t xml:space="preserve"> </w:t>
      </w:r>
      <w:r>
        <w:t>Department of Housing, Planning, Community and Local Government, Custom House, Dublin 1)</w:t>
      </w:r>
    </w:p>
  </w:footnote>
  <w:footnote w:id="5">
    <w:p w:rsidR="00895698" w:rsidRDefault="00895698" w:rsidP="00536756">
      <w:pPr>
        <w:pStyle w:val="FootnoteText"/>
      </w:pPr>
      <w:r>
        <w:rPr>
          <w:rStyle w:val="FootnoteReference"/>
        </w:rPr>
        <w:footnoteRef/>
      </w:r>
      <w:r>
        <w:t xml:space="preserve"> (Source: EPA (2016). </w:t>
      </w:r>
      <w:r w:rsidRPr="0094699F">
        <w:rPr>
          <w:i/>
        </w:rPr>
        <w:t>Irelands Environment - An Assessment 2016</w:t>
      </w:r>
      <w:r>
        <w:t>, Environmental Protection Agency, Wexford)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124"/>
    <w:multiLevelType w:val="multilevel"/>
    <w:tmpl w:val="F704FE1A"/>
    <w:lvl w:ilvl="0">
      <w:start w:val="3"/>
      <w:numFmt w:val="decimal"/>
      <w:lvlText w:val="%1"/>
      <w:lvlJc w:val="left"/>
      <w:pPr>
        <w:ind w:left="435" w:hanging="435"/>
      </w:pPr>
      <w:rPr>
        <w:rFonts w:hint="default"/>
      </w:rPr>
    </w:lvl>
    <w:lvl w:ilvl="1">
      <w:start w:val="1"/>
      <w:numFmt w:val="decimal"/>
      <w:lvlText w:val="%1.%2"/>
      <w:lvlJc w:val="left"/>
      <w:pPr>
        <w:ind w:left="1875" w:hanging="435"/>
      </w:pPr>
      <w:rPr>
        <w:rFonts w:hint="default"/>
      </w:rPr>
    </w:lvl>
    <w:lvl w:ilvl="2">
      <w:start w:val="7"/>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02D971A3"/>
    <w:multiLevelType w:val="hybridMultilevel"/>
    <w:tmpl w:val="B0402CC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03FD23D4"/>
    <w:multiLevelType w:val="hybridMultilevel"/>
    <w:tmpl w:val="48E86DA2"/>
    <w:lvl w:ilvl="0" w:tplc="B2A043A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4056DA4"/>
    <w:multiLevelType w:val="hybridMultilevel"/>
    <w:tmpl w:val="287A3B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49E41EF"/>
    <w:multiLevelType w:val="hybridMultilevel"/>
    <w:tmpl w:val="68D08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5B7901"/>
    <w:multiLevelType w:val="multilevel"/>
    <w:tmpl w:val="BC5CA6A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8267CE"/>
    <w:multiLevelType w:val="hybridMultilevel"/>
    <w:tmpl w:val="1E668D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07CC58E7"/>
    <w:multiLevelType w:val="hybridMultilevel"/>
    <w:tmpl w:val="8EB67764"/>
    <w:lvl w:ilvl="0" w:tplc="546E83A4">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0192F5D"/>
    <w:multiLevelType w:val="hybridMultilevel"/>
    <w:tmpl w:val="75F0E3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82A378C"/>
    <w:multiLevelType w:val="multilevel"/>
    <w:tmpl w:val="5E3E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CE1A4F"/>
    <w:multiLevelType w:val="hybridMultilevel"/>
    <w:tmpl w:val="FFD673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22205EDD"/>
    <w:multiLevelType w:val="hybridMultilevel"/>
    <w:tmpl w:val="341A11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34840E3"/>
    <w:multiLevelType w:val="hybridMultilevel"/>
    <w:tmpl w:val="FADA14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C4C2559"/>
    <w:multiLevelType w:val="multilevel"/>
    <w:tmpl w:val="F62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A1D3C"/>
    <w:multiLevelType w:val="hybridMultilevel"/>
    <w:tmpl w:val="9E70C4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6047E29"/>
    <w:multiLevelType w:val="hybridMultilevel"/>
    <w:tmpl w:val="A81CB57A"/>
    <w:lvl w:ilvl="0" w:tplc="B76E8870">
      <w:start w:val="1"/>
      <w:numFmt w:val="decimal"/>
      <w:lvlText w:val="%1."/>
      <w:lvlJc w:val="left"/>
      <w:pPr>
        <w:ind w:left="1110" w:hanging="7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60804B6"/>
    <w:multiLevelType w:val="multilevel"/>
    <w:tmpl w:val="AE6CDF80"/>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7631398"/>
    <w:multiLevelType w:val="hybridMultilevel"/>
    <w:tmpl w:val="EA1019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B526C9A"/>
    <w:multiLevelType w:val="hybridMultilevel"/>
    <w:tmpl w:val="59B86614"/>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9">
    <w:nsid w:val="43986D0E"/>
    <w:multiLevelType w:val="hybridMultilevel"/>
    <w:tmpl w:val="18CA59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582471C"/>
    <w:multiLevelType w:val="multilevel"/>
    <w:tmpl w:val="1F1A7130"/>
    <w:lvl w:ilvl="0">
      <w:start w:val="3"/>
      <w:numFmt w:val="decimal"/>
      <w:lvlText w:val="%1.2.3"/>
      <w:lvlJc w:val="left"/>
      <w:pPr>
        <w:ind w:left="360" w:hanging="360"/>
      </w:pPr>
      <w:rPr>
        <w:rFonts w:hint="default"/>
      </w:rPr>
    </w:lvl>
    <w:lvl w:ilvl="1">
      <w:start w:val="3"/>
      <w:numFmt w:val="decimal"/>
      <w:lvlText w:val="%2.2.3"/>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8C9104A"/>
    <w:multiLevelType w:val="hybridMultilevel"/>
    <w:tmpl w:val="56DE10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9A202EB"/>
    <w:multiLevelType w:val="hybridMultilevel"/>
    <w:tmpl w:val="45BA74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1B970C0"/>
    <w:multiLevelType w:val="hybridMultilevel"/>
    <w:tmpl w:val="CB32D8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2A13BF0"/>
    <w:multiLevelType w:val="hybridMultilevel"/>
    <w:tmpl w:val="60143F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54F45CED"/>
    <w:multiLevelType w:val="hybridMultilevel"/>
    <w:tmpl w:val="86F28B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56F24E19"/>
    <w:multiLevelType w:val="multilevel"/>
    <w:tmpl w:val="B8A8A8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A7D4893"/>
    <w:multiLevelType w:val="multilevel"/>
    <w:tmpl w:val="83EA12DA"/>
    <w:lvl w:ilvl="0">
      <w:start w:val="3"/>
      <w:numFmt w:val="decimal"/>
      <w:lvlText w:val="%1"/>
      <w:lvlJc w:val="left"/>
      <w:pPr>
        <w:ind w:left="360" w:hanging="360"/>
      </w:pPr>
      <w:rPr>
        <w:rFonts w:hint="default"/>
      </w:rPr>
    </w:lvl>
    <w:lvl w:ilvl="1">
      <w:start w:val="3"/>
      <w:numFmt w:val="decimal"/>
      <w:lvlText w:val="%2.2.3"/>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5AEF4F9C"/>
    <w:multiLevelType w:val="hybridMultilevel"/>
    <w:tmpl w:val="CE04F0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DB2365D"/>
    <w:multiLevelType w:val="hybridMultilevel"/>
    <w:tmpl w:val="7E0C39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F173D81"/>
    <w:multiLevelType w:val="multilevel"/>
    <w:tmpl w:val="77963C58"/>
    <w:lvl w:ilvl="0">
      <w:start w:val="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67A979E3"/>
    <w:multiLevelType w:val="hybridMultilevel"/>
    <w:tmpl w:val="8D1CEB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97168DA"/>
    <w:multiLevelType w:val="hybridMultilevel"/>
    <w:tmpl w:val="954E60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6EA03921"/>
    <w:multiLevelType w:val="multilevel"/>
    <w:tmpl w:val="BB0C52B4"/>
    <w:lvl w:ilvl="0">
      <w:start w:val="3"/>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3"/>
      <w:numFmt w:val="decimal"/>
      <w:lvlText w:val="%1.%2.%3"/>
      <w:lvlJc w:val="left"/>
      <w:pPr>
        <w:ind w:left="284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70983863"/>
    <w:multiLevelType w:val="hybridMultilevel"/>
    <w:tmpl w:val="F1A838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39A28B8"/>
    <w:multiLevelType w:val="hybridMultilevel"/>
    <w:tmpl w:val="37DC7F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3B06501"/>
    <w:multiLevelType w:val="hybridMultilevel"/>
    <w:tmpl w:val="69F40C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743C02DD"/>
    <w:multiLevelType w:val="hybridMultilevel"/>
    <w:tmpl w:val="5A56EBD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F3021EF"/>
    <w:multiLevelType w:val="hybridMultilevel"/>
    <w:tmpl w:val="15BAE8EA"/>
    <w:lvl w:ilvl="0" w:tplc="18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3"/>
  </w:num>
  <w:num w:numId="4">
    <w:abstractNumId w:val="18"/>
  </w:num>
  <w:num w:numId="5">
    <w:abstractNumId w:val="28"/>
  </w:num>
  <w:num w:numId="6">
    <w:abstractNumId w:val="22"/>
  </w:num>
  <w:num w:numId="7">
    <w:abstractNumId w:val="32"/>
  </w:num>
  <w:num w:numId="8">
    <w:abstractNumId w:val="37"/>
  </w:num>
  <w:num w:numId="9">
    <w:abstractNumId w:val="38"/>
  </w:num>
  <w:num w:numId="10">
    <w:abstractNumId w:val="14"/>
  </w:num>
  <w:num w:numId="11">
    <w:abstractNumId w:val="23"/>
  </w:num>
  <w:num w:numId="12">
    <w:abstractNumId w:val="2"/>
  </w:num>
  <w:num w:numId="13">
    <w:abstractNumId w:val="10"/>
  </w:num>
  <w:num w:numId="14">
    <w:abstractNumId w:val="11"/>
  </w:num>
  <w:num w:numId="15">
    <w:abstractNumId w:val="12"/>
  </w:num>
  <w:num w:numId="16">
    <w:abstractNumId w:val="36"/>
  </w:num>
  <w:num w:numId="17">
    <w:abstractNumId w:val="35"/>
  </w:num>
  <w:num w:numId="18">
    <w:abstractNumId w:val="4"/>
  </w:num>
  <w:num w:numId="19">
    <w:abstractNumId w:val="25"/>
  </w:num>
  <w:num w:numId="20">
    <w:abstractNumId w:val="27"/>
  </w:num>
  <w:num w:numId="21">
    <w:abstractNumId w:val="20"/>
  </w:num>
  <w:num w:numId="22">
    <w:abstractNumId w:val="30"/>
  </w:num>
  <w:num w:numId="23">
    <w:abstractNumId w:val="0"/>
  </w:num>
  <w:num w:numId="24">
    <w:abstractNumId w:val="6"/>
  </w:num>
  <w:num w:numId="25">
    <w:abstractNumId w:val="7"/>
  </w:num>
  <w:num w:numId="26">
    <w:abstractNumId w:val="21"/>
  </w:num>
  <w:num w:numId="27">
    <w:abstractNumId w:val="19"/>
  </w:num>
  <w:num w:numId="28">
    <w:abstractNumId w:val="34"/>
  </w:num>
  <w:num w:numId="29">
    <w:abstractNumId w:val="8"/>
  </w:num>
  <w:num w:numId="30">
    <w:abstractNumId w:val="1"/>
  </w:num>
  <w:num w:numId="31">
    <w:abstractNumId w:val="15"/>
  </w:num>
  <w:num w:numId="32">
    <w:abstractNumId w:val="13"/>
  </w:num>
  <w:num w:numId="33">
    <w:abstractNumId w:val="9"/>
  </w:num>
  <w:num w:numId="34">
    <w:abstractNumId w:val="29"/>
  </w:num>
  <w:num w:numId="35">
    <w:abstractNumId w:val="16"/>
  </w:num>
  <w:num w:numId="36">
    <w:abstractNumId w:val="5"/>
  </w:num>
  <w:num w:numId="37">
    <w:abstractNumId w:val="26"/>
  </w:num>
  <w:num w:numId="38">
    <w:abstractNumId w:val="33"/>
  </w:num>
  <w:num w:numId="3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430B2C"/>
    <w:rsid w:val="00001022"/>
    <w:rsid w:val="000036A3"/>
    <w:rsid w:val="000077C0"/>
    <w:rsid w:val="0001250C"/>
    <w:rsid w:val="00012BFC"/>
    <w:rsid w:val="00015AC1"/>
    <w:rsid w:val="00015EBB"/>
    <w:rsid w:val="00034D18"/>
    <w:rsid w:val="000377EA"/>
    <w:rsid w:val="00037C17"/>
    <w:rsid w:val="000416F4"/>
    <w:rsid w:val="00041744"/>
    <w:rsid w:val="0004431D"/>
    <w:rsid w:val="00047409"/>
    <w:rsid w:val="00047B6B"/>
    <w:rsid w:val="00051025"/>
    <w:rsid w:val="00052E90"/>
    <w:rsid w:val="0005605E"/>
    <w:rsid w:val="00060486"/>
    <w:rsid w:val="00060F1E"/>
    <w:rsid w:val="00061F78"/>
    <w:rsid w:val="00063D5A"/>
    <w:rsid w:val="00067F7F"/>
    <w:rsid w:val="00072DBE"/>
    <w:rsid w:val="00077FD9"/>
    <w:rsid w:val="00085342"/>
    <w:rsid w:val="00085E69"/>
    <w:rsid w:val="00090051"/>
    <w:rsid w:val="0009040B"/>
    <w:rsid w:val="00093EB9"/>
    <w:rsid w:val="000972B1"/>
    <w:rsid w:val="000A7EBA"/>
    <w:rsid w:val="000B07F9"/>
    <w:rsid w:val="000B3DAC"/>
    <w:rsid w:val="000B4C54"/>
    <w:rsid w:val="000B5287"/>
    <w:rsid w:val="000C1AB8"/>
    <w:rsid w:val="000C771E"/>
    <w:rsid w:val="000D024D"/>
    <w:rsid w:val="000D2344"/>
    <w:rsid w:val="000E5D91"/>
    <w:rsid w:val="000E76BA"/>
    <w:rsid w:val="000F1302"/>
    <w:rsid w:val="000F58C5"/>
    <w:rsid w:val="000F63A6"/>
    <w:rsid w:val="0010042A"/>
    <w:rsid w:val="00103E90"/>
    <w:rsid w:val="00106041"/>
    <w:rsid w:val="00110904"/>
    <w:rsid w:val="00110B5B"/>
    <w:rsid w:val="00111C08"/>
    <w:rsid w:val="00112319"/>
    <w:rsid w:val="00112EEE"/>
    <w:rsid w:val="001167C0"/>
    <w:rsid w:val="00117907"/>
    <w:rsid w:val="00121A0B"/>
    <w:rsid w:val="00122887"/>
    <w:rsid w:val="00122AA2"/>
    <w:rsid w:val="00123FEF"/>
    <w:rsid w:val="0012485C"/>
    <w:rsid w:val="00125DFD"/>
    <w:rsid w:val="0012648D"/>
    <w:rsid w:val="001265F4"/>
    <w:rsid w:val="001313F1"/>
    <w:rsid w:val="001329F8"/>
    <w:rsid w:val="00132AC6"/>
    <w:rsid w:val="0013442C"/>
    <w:rsid w:val="00137180"/>
    <w:rsid w:val="001374C3"/>
    <w:rsid w:val="0013792D"/>
    <w:rsid w:val="00143B1E"/>
    <w:rsid w:val="00151446"/>
    <w:rsid w:val="00152688"/>
    <w:rsid w:val="00152F50"/>
    <w:rsid w:val="00152FAC"/>
    <w:rsid w:val="0015673C"/>
    <w:rsid w:val="001578D3"/>
    <w:rsid w:val="00157B62"/>
    <w:rsid w:val="00165188"/>
    <w:rsid w:val="00167744"/>
    <w:rsid w:val="00173D3A"/>
    <w:rsid w:val="00176548"/>
    <w:rsid w:val="00180CDB"/>
    <w:rsid w:val="001826DA"/>
    <w:rsid w:val="00182D8D"/>
    <w:rsid w:val="0018507F"/>
    <w:rsid w:val="00185D41"/>
    <w:rsid w:val="00185DF0"/>
    <w:rsid w:val="00186E46"/>
    <w:rsid w:val="00186EFB"/>
    <w:rsid w:val="0019483A"/>
    <w:rsid w:val="0019768F"/>
    <w:rsid w:val="00197D8D"/>
    <w:rsid w:val="001A3307"/>
    <w:rsid w:val="001A5D22"/>
    <w:rsid w:val="001B3658"/>
    <w:rsid w:val="001B3F03"/>
    <w:rsid w:val="001B47EF"/>
    <w:rsid w:val="001B5465"/>
    <w:rsid w:val="001B6CC3"/>
    <w:rsid w:val="001C310A"/>
    <w:rsid w:val="001C7397"/>
    <w:rsid w:val="001D075E"/>
    <w:rsid w:val="001D353C"/>
    <w:rsid w:val="001E4AA9"/>
    <w:rsid w:val="001E6B88"/>
    <w:rsid w:val="001E6EBD"/>
    <w:rsid w:val="001F0378"/>
    <w:rsid w:val="001F22C3"/>
    <w:rsid w:val="001F2F49"/>
    <w:rsid w:val="001F30AB"/>
    <w:rsid w:val="00201A1C"/>
    <w:rsid w:val="002031CB"/>
    <w:rsid w:val="00203F54"/>
    <w:rsid w:val="002054C1"/>
    <w:rsid w:val="00206104"/>
    <w:rsid w:val="00206F3D"/>
    <w:rsid w:val="00207818"/>
    <w:rsid w:val="002115E8"/>
    <w:rsid w:val="002128CD"/>
    <w:rsid w:val="00213F30"/>
    <w:rsid w:val="00223122"/>
    <w:rsid w:val="00230236"/>
    <w:rsid w:val="00234FD8"/>
    <w:rsid w:val="002350AE"/>
    <w:rsid w:val="0024009F"/>
    <w:rsid w:val="00240E42"/>
    <w:rsid w:val="00243277"/>
    <w:rsid w:val="002444CD"/>
    <w:rsid w:val="00247C18"/>
    <w:rsid w:val="00251FCE"/>
    <w:rsid w:val="0026419F"/>
    <w:rsid w:val="00264817"/>
    <w:rsid w:val="002652B1"/>
    <w:rsid w:val="00265C34"/>
    <w:rsid w:val="00266EB6"/>
    <w:rsid w:val="00274A64"/>
    <w:rsid w:val="002827B5"/>
    <w:rsid w:val="0029387D"/>
    <w:rsid w:val="002946F2"/>
    <w:rsid w:val="002A0D59"/>
    <w:rsid w:val="002A4191"/>
    <w:rsid w:val="002A5631"/>
    <w:rsid w:val="002A57B4"/>
    <w:rsid w:val="002A5F7F"/>
    <w:rsid w:val="002A7DBB"/>
    <w:rsid w:val="002B0CE6"/>
    <w:rsid w:val="002B1360"/>
    <w:rsid w:val="002B3AB6"/>
    <w:rsid w:val="002B442B"/>
    <w:rsid w:val="002B6D9E"/>
    <w:rsid w:val="002C0565"/>
    <w:rsid w:val="002C2F8A"/>
    <w:rsid w:val="002D19FB"/>
    <w:rsid w:val="002D3A5E"/>
    <w:rsid w:val="002D4902"/>
    <w:rsid w:val="002E155F"/>
    <w:rsid w:val="002E59D3"/>
    <w:rsid w:val="002E621A"/>
    <w:rsid w:val="002F4062"/>
    <w:rsid w:val="002F5E61"/>
    <w:rsid w:val="0030228E"/>
    <w:rsid w:val="00302889"/>
    <w:rsid w:val="00302A16"/>
    <w:rsid w:val="00302FB7"/>
    <w:rsid w:val="0031167A"/>
    <w:rsid w:val="003116DB"/>
    <w:rsid w:val="0031208B"/>
    <w:rsid w:val="00314883"/>
    <w:rsid w:val="00317D3A"/>
    <w:rsid w:val="00321521"/>
    <w:rsid w:val="00323373"/>
    <w:rsid w:val="00334EDE"/>
    <w:rsid w:val="00345A58"/>
    <w:rsid w:val="00346331"/>
    <w:rsid w:val="00346A02"/>
    <w:rsid w:val="0036056E"/>
    <w:rsid w:val="00360953"/>
    <w:rsid w:val="00361B78"/>
    <w:rsid w:val="00363282"/>
    <w:rsid w:val="00366C23"/>
    <w:rsid w:val="00367737"/>
    <w:rsid w:val="00371894"/>
    <w:rsid w:val="003737BA"/>
    <w:rsid w:val="00375CF3"/>
    <w:rsid w:val="00376D70"/>
    <w:rsid w:val="00377537"/>
    <w:rsid w:val="00377885"/>
    <w:rsid w:val="003801C9"/>
    <w:rsid w:val="003814A3"/>
    <w:rsid w:val="00385E82"/>
    <w:rsid w:val="00387558"/>
    <w:rsid w:val="00390286"/>
    <w:rsid w:val="0039430F"/>
    <w:rsid w:val="003A0499"/>
    <w:rsid w:val="003A4C41"/>
    <w:rsid w:val="003A4C67"/>
    <w:rsid w:val="003A6EC3"/>
    <w:rsid w:val="003A74BB"/>
    <w:rsid w:val="003B29FB"/>
    <w:rsid w:val="003B6E35"/>
    <w:rsid w:val="003C2121"/>
    <w:rsid w:val="003C2972"/>
    <w:rsid w:val="003C70E2"/>
    <w:rsid w:val="003D5B04"/>
    <w:rsid w:val="003D7A04"/>
    <w:rsid w:val="003E2732"/>
    <w:rsid w:val="003E531A"/>
    <w:rsid w:val="003E5FC0"/>
    <w:rsid w:val="003F17FA"/>
    <w:rsid w:val="003F4CCD"/>
    <w:rsid w:val="004016CE"/>
    <w:rsid w:val="00404542"/>
    <w:rsid w:val="00404CA1"/>
    <w:rsid w:val="00413506"/>
    <w:rsid w:val="00414132"/>
    <w:rsid w:val="0041634E"/>
    <w:rsid w:val="004167A2"/>
    <w:rsid w:val="00422FED"/>
    <w:rsid w:val="004233E8"/>
    <w:rsid w:val="00425A37"/>
    <w:rsid w:val="004262A2"/>
    <w:rsid w:val="00427B5C"/>
    <w:rsid w:val="00430B2C"/>
    <w:rsid w:val="004347AC"/>
    <w:rsid w:val="00442529"/>
    <w:rsid w:val="00442884"/>
    <w:rsid w:val="00442C34"/>
    <w:rsid w:val="004442DF"/>
    <w:rsid w:val="00446D8B"/>
    <w:rsid w:val="00450045"/>
    <w:rsid w:val="004500CE"/>
    <w:rsid w:val="004516B9"/>
    <w:rsid w:val="00456A8F"/>
    <w:rsid w:val="004633FA"/>
    <w:rsid w:val="0046359B"/>
    <w:rsid w:val="00467909"/>
    <w:rsid w:val="0047141B"/>
    <w:rsid w:val="00476A94"/>
    <w:rsid w:val="00481AAA"/>
    <w:rsid w:val="00482B21"/>
    <w:rsid w:val="00483466"/>
    <w:rsid w:val="00485BA3"/>
    <w:rsid w:val="00486170"/>
    <w:rsid w:val="00490964"/>
    <w:rsid w:val="00493B9D"/>
    <w:rsid w:val="00494737"/>
    <w:rsid w:val="00495BB2"/>
    <w:rsid w:val="004970A4"/>
    <w:rsid w:val="004A073B"/>
    <w:rsid w:val="004A19C2"/>
    <w:rsid w:val="004A5FD6"/>
    <w:rsid w:val="004B0E26"/>
    <w:rsid w:val="004B1CE2"/>
    <w:rsid w:val="004B22C1"/>
    <w:rsid w:val="004B25DA"/>
    <w:rsid w:val="004B413A"/>
    <w:rsid w:val="004B5DC9"/>
    <w:rsid w:val="004B689B"/>
    <w:rsid w:val="004B7A55"/>
    <w:rsid w:val="004C048C"/>
    <w:rsid w:val="004C0DE1"/>
    <w:rsid w:val="004C2F2C"/>
    <w:rsid w:val="004C5244"/>
    <w:rsid w:val="004C676E"/>
    <w:rsid w:val="004C7F65"/>
    <w:rsid w:val="004D39C3"/>
    <w:rsid w:val="004E726F"/>
    <w:rsid w:val="004F0FD9"/>
    <w:rsid w:val="004F4814"/>
    <w:rsid w:val="004F5646"/>
    <w:rsid w:val="004F570E"/>
    <w:rsid w:val="005023D3"/>
    <w:rsid w:val="005028CC"/>
    <w:rsid w:val="005033D0"/>
    <w:rsid w:val="005061FB"/>
    <w:rsid w:val="005074A1"/>
    <w:rsid w:val="00520563"/>
    <w:rsid w:val="005238AC"/>
    <w:rsid w:val="00524D18"/>
    <w:rsid w:val="00526B49"/>
    <w:rsid w:val="005279DF"/>
    <w:rsid w:val="00530E03"/>
    <w:rsid w:val="00530E19"/>
    <w:rsid w:val="00531370"/>
    <w:rsid w:val="005315A2"/>
    <w:rsid w:val="00533131"/>
    <w:rsid w:val="00533E95"/>
    <w:rsid w:val="00536155"/>
    <w:rsid w:val="00536756"/>
    <w:rsid w:val="00541331"/>
    <w:rsid w:val="00541ADC"/>
    <w:rsid w:val="005420D7"/>
    <w:rsid w:val="005422A9"/>
    <w:rsid w:val="00542604"/>
    <w:rsid w:val="005501FC"/>
    <w:rsid w:val="00553903"/>
    <w:rsid w:val="00560F74"/>
    <w:rsid w:val="00562459"/>
    <w:rsid w:val="00562B53"/>
    <w:rsid w:val="00563926"/>
    <w:rsid w:val="0056660A"/>
    <w:rsid w:val="00566839"/>
    <w:rsid w:val="0057035E"/>
    <w:rsid w:val="00571CEE"/>
    <w:rsid w:val="005737C1"/>
    <w:rsid w:val="0057715F"/>
    <w:rsid w:val="005906BA"/>
    <w:rsid w:val="005924C2"/>
    <w:rsid w:val="00597B68"/>
    <w:rsid w:val="005A09BA"/>
    <w:rsid w:val="005A0A58"/>
    <w:rsid w:val="005A7AE7"/>
    <w:rsid w:val="005B2975"/>
    <w:rsid w:val="005B2BE5"/>
    <w:rsid w:val="005B2D90"/>
    <w:rsid w:val="005B50F1"/>
    <w:rsid w:val="005B59C7"/>
    <w:rsid w:val="005B6551"/>
    <w:rsid w:val="005B6C35"/>
    <w:rsid w:val="005C042A"/>
    <w:rsid w:val="005C176D"/>
    <w:rsid w:val="005C1B15"/>
    <w:rsid w:val="005C4157"/>
    <w:rsid w:val="005C42DB"/>
    <w:rsid w:val="005C4495"/>
    <w:rsid w:val="005D0F8B"/>
    <w:rsid w:val="005D1551"/>
    <w:rsid w:val="005D2657"/>
    <w:rsid w:val="005D4C95"/>
    <w:rsid w:val="005D63F9"/>
    <w:rsid w:val="005E2807"/>
    <w:rsid w:val="005E69D8"/>
    <w:rsid w:val="005E7A1F"/>
    <w:rsid w:val="005F176E"/>
    <w:rsid w:val="00602473"/>
    <w:rsid w:val="006041EC"/>
    <w:rsid w:val="006048AC"/>
    <w:rsid w:val="006104D8"/>
    <w:rsid w:val="00612E66"/>
    <w:rsid w:val="00615DF1"/>
    <w:rsid w:val="006271DA"/>
    <w:rsid w:val="00633392"/>
    <w:rsid w:val="00635292"/>
    <w:rsid w:val="0064134A"/>
    <w:rsid w:val="00641367"/>
    <w:rsid w:val="006429E4"/>
    <w:rsid w:val="006452E9"/>
    <w:rsid w:val="006463F5"/>
    <w:rsid w:val="00646C45"/>
    <w:rsid w:val="00646F52"/>
    <w:rsid w:val="0064772E"/>
    <w:rsid w:val="00652502"/>
    <w:rsid w:val="00652D08"/>
    <w:rsid w:val="0066079E"/>
    <w:rsid w:val="00664AE8"/>
    <w:rsid w:val="00672D73"/>
    <w:rsid w:val="0067714B"/>
    <w:rsid w:val="0068048C"/>
    <w:rsid w:val="00681089"/>
    <w:rsid w:val="006825E9"/>
    <w:rsid w:val="00682F4A"/>
    <w:rsid w:val="00683283"/>
    <w:rsid w:val="006843F0"/>
    <w:rsid w:val="00686EC8"/>
    <w:rsid w:val="00686EF9"/>
    <w:rsid w:val="0069002E"/>
    <w:rsid w:val="00693CDF"/>
    <w:rsid w:val="00694E8E"/>
    <w:rsid w:val="006955D5"/>
    <w:rsid w:val="00695C54"/>
    <w:rsid w:val="006A2E0A"/>
    <w:rsid w:val="006A7229"/>
    <w:rsid w:val="006B05E6"/>
    <w:rsid w:val="006B2AD0"/>
    <w:rsid w:val="006B533B"/>
    <w:rsid w:val="006B7516"/>
    <w:rsid w:val="006C0371"/>
    <w:rsid w:val="006C4CBE"/>
    <w:rsid w:val="006C5C35"/>
    <w:rsid w:val="006D0EED"/>
    <w:rsid w:val="006D1240"/>
    <w:rsid w:val="006D1283"/>
    <w:rsid w:val="006D1B50"/>
    <w:rsid w:val="006D1C8D"/>
    <w:rsid w:val="006D4A1C"/>
    <w:rsid w:val="006E04BF"/>
    <w:rsid w:val="006E56FE"/>
    <w:rsid w:val="006E6292"/>
    <w:rsid w:val="006E7DD2"/>
    <w:rsid w:val="006E7F05"/>
    <w:rsid w:val="006F03ED"/>
    <w:rsid w:val="006F7936"/>
    <w:rsid w:val="00705477"/>
    <w:rsid w:val="007103EE"/>
    <w:rsid w:val="00713F80"/>
    <w:rsid w:val="0071668F"/>
    <w:rsid w:val="00721B87"/>
    <w:rsid w:val="00724168"/>
    <w:rsid w:val="00725F39"/>
    <w:rsid w:val="00731254"/>
    <w:rsid w:val="00740239"/>
    <w:rsid w:val="00740266"/>
    <w:rsid w:val="00740772"/>
    <w:rsid w:val="0074223A"/>
    <w:rsid w:val="00746E15"/>
    <w:rsid w:val="00747A3D"/>
    <w:rsid w:val="007519D2"/>
    <w:rsid w:val="0076117B"/>
    <w:rsid w:val="0076564D"/>
    <w:rsid w:val="00771017"/>
    <w:rsid w:val="0077207D"/>
    <w:rsid w:val="007757D0"/>
    <w:rsid w:val="0078170C"/>
    <w:rsid w:val="00783FD5"/>
    <w:rsid w:val="00784026"/>
    <w:rsid w:val="007879C8"/>
    <w:rsid w:val="0079190D"/>
    <w:rsid w:val="0079334A"/>
    <w:rsid w:val="00793A53"/>
    <w:rsid w:val="00793F9E"/>
    <w:rsid w:val="00794143"/>
    <w:rsid w:val="007A44F0"/>
    <w:rsid w:val="007A6158"/>
    <w:rsid w:val="007A6253"/>
    <w:rsid w:val="007A6329"/>
    <w:rsid w:val="007B3405"/>
    <w:rsid w:val="007B41DF"/>
    <w:rsid w:val="007B7EB5"/>
    <w:rsid w:val="007C1B5E"/>
    <w:rsid w:val="007C2D37"/>
    <w:rsid w:val="007C44C9"/>
    <w:rsid w:val="007D420C"/>
    <w:rsid w:val="007D4979"/>
    <w:rsid w:val="007D4DB9"/>
    <w:rsid w:val="007D50C1"/>
    <w:rsid w:val="007D7F87"/>
    <w:rsid w:val="007E3283"/>
    <w:rsid w:val="007E35FE"/>
    <w:rsid w:val="007E5470"/>
    <w:rsid w:val="007E5EBE"/>
    <w:rsid w:val="007E60AC"/>
    <w:rsid w:val="007E7C4D"/>
    <w:rsid w:val="007F0331"/>
    <w:rsid w:val="007F078A"/>
    <w:rsid w:val="007F1506"/>
    <w:rsid w:val="007F1E54"/>
    <w:rsid w:val="007F70F0"/>
    <w:rsid w:val="007F753D"/>
    <w:rsid w:val="0080124F"/>
    <w:rsid w:val="00801270"/>
    <w:rsid w:val="008054CE"/>
    <w:rsid w:val="00806635"/>
    <w:rsid w:val="008100D3"/>
    <w:rsid w:val="008169EC"/>
    <w:rsid w:val="00820CFD"/>
    <w:rsid w:val="008225D2"/>
    <w:rsid w:val="00823219"/>
    <w:rsid w:val="0083038E"/>
    <w:rsid w:val="00834FFB"/>
    <w:rsid w:val="0083634B"/>
    <w:rsid w:val="0083713C"/>
    <w:rsid w:val="00837794"/>
    <w:rsid w:val="00842787"/>
    <w:rsid w:val="00854091"/>
    <w:rsid w:val="0085459B"/>
    <w:rsid w:val="00854C73"/>
    <w:rsid w:val="00855D2D"/>
    <w:rsid w:val="00865CC0"/>
    <w:rsid w:val="00866277"/>
    <w:rsid w:val="00866F06"/>
    <w:rsid w:val="00867880"/>
    <w:rsid w:val="00867D2F"/>
    <w:rsid w:val="00871934"/>
    <w:rsid w:val="00872806"/>
    <w:rsid w:val="00874CBA"/>
    <w:rsid w:val="00876048"/>
    <w:rsid w:val="008841D9"/>
    <w:rsid w:val="0089147A"/>
    <w:rsid w:val="00891E9C"/>
    <w:rsid w:val="008929D9"/>
    <w:rsid w:val="00895698"/>
    <w:rsid w:val="00895742"/>
    <w:rsid w:val="00896583"/>
    <w:rsid w:val="008A1947"/>
    <w:rsid w:val="008A56FD"/>
    <w:rsid w:val="008A603C"/>
    <w:rsid w:val="008A6775"/>
    <w:rsid w:val="008A73C7"/>
    <w:rsid w:val="008B205F"/>
    <w:rsid w:val="008B29B4"/>
    <w:rsid w:val="008B34D1"/>
    <w:rsid w:val="008B6A21"/>
    <w:rsid w:val="008B76A3"/>
    <w:rsid w:val="008C46CA"/>
    <w:rsid w:val="008D2063"/>
    <w:rsid w:val="008D4816"/>
    <w:rsid w:val="008D5975"/>
    <w:rsid w:val="008D5A0B"/>
    <w:rsid w:val="008D7FA0"/>
    <w:rsid w:val="008E63B6"/>
    <w:rsid w:val="008E7EDE"/>
    <w:rsid w:val="008F2BC1"/>
    <w:rsid w:val="008F67FD"/>
    <w:rsid w:val="008F764B"/>
    <w:rsid w:val="00900896"/>
    <w:rsid w:val="0090122A"/>
    <w:rsid w:val="0091383D"/>
    <w:rsid w:val="009262D2"/>
    <w:rsid w:val="00926C57"/>
    <w:rsid w:val="00931B31"/>
    <w:rsid w:val="009338A0"/>
    <w:rsid w:val="0093730C"/>
    <w:rsid w:val="0094030E"/>
    <w:rsid w:val="00943F18"/>
    <w:rsid w:val="009441DA"/>
    <w:rsid w:val="0094702F"/>
    <w:rsid w:val="00947CAE"/>
    <w:rsid w:val="00952EAD"/>
    <w:rsid w:val="00953532"/>
    <w:rsid w:val="00955097"/>
    <w:rsid w:val="0096575B"/>
    <w:rsid w:val="00967437"/>
    <w:rsid w:val="0097098D"/>
    <w:rsid w:val="00973EC3"/>
    <w:rsid w:val="009747D3"/>
    <w:rsid w:val="00974F27"/>
    <w:rsid w:val="00975FD4"/>
    <w:rsid w:val="00976BDE"/>
    <w:rsid w:val="009777C4"/>
    <w:rsid w:val="0098078E"/>
    <w:rsid w:val="00980FFB"/>
    <w:rsid w:val="00981B21"/>
    <w:rsid w:val="00985481"/>
    <w:rsid w:val="00985CE3"/>
    <w:rsid w:val="009870F9"/>
    <w:rsid w:val="00991157"/>
    <w:rsid w:val="009941A1"/>
    <w:rsid w:val="00995555"/>
    <w:rsid w:val="00995D1C"/>
    <w:rsid w:val="009A29AD"/>
    <w:rsid w:val="009A4DAF"/>
    <w:rsid w:val="009A7C1C"/>
    <w:rsid w:val="009B3DAE"/>
    <w:rsid w:val="009B696B"/>
    <w:rsid w:val="009B6FD5"/>
    <w:rsid w:val="009C083F"/>
    <w:rsid w:val="009C1371"/>
    <w:rsid w:val="009C6A7B"/>
    <w:rsid w:val="009C7D8A"/>
    <w:rsid w:val="009D35AF"/>
    <w:rsid w:val="009D3B18"/>
    <w:rsid w:val="009D497F"/>
    <w:rsid w:val="009D65EB"/>
    <w:rsid w:val="009E6F70"/>
    <w:rsid w:val="009E7FA5"/>
    <w:rsid w:val="009F08EE"/>
    <w:rsid w:val="009F3D67"/>
    <w:rsid w:val="009F497F"/>
    <w:rsid w:val="009F762B"/>
    <w:rsid w:val="00A06CBE"/>
    <w:rsid w:val="00A10507"/>
    <w:rsid w:val="00A10F3D"/>
    <w:rsid w:val="00A13724"/>
    <w:rsid w:val="00A13878"/>
    <w:rsid w:val="00A22DE8"/>
    <w:rsid w:val="00A241EF"/>
    <w:rsid w:val="00A24264"/>
    <w:rsid w:val="00A37B97"/>
    <w:rsid w:val="00A431B3"/>
    <w:rsid w:val="00A4357E"/>
    <w:rsid w:val="00A4362B"/>
    <w:rsid w:val="00A44083"/>
    <w:rsid w:val="00A44FDD"/>
    <w:rsid w:val="00A51CEA"/>
    <w:rsid w:val="00A56830"/>
    <w:rsid w:val="00A56BE9"/>
    <w:rsid w:val="00A575F1"/>
    <w:rsid w:val="00A63BCA"/>
    <w:rsid w:val="00A7535C"/>
    <w:rsid w:val="00A809B4"/>
    <w:rsid w:val="00A81726"/>
    <w:rsid w:val="00A81FF8"/>
    <w:rsid w:val="00A84C73"/>
    <w:rsid w:val="00A87E61"/>
    <w:rsid w:val="00A87FF8"/>
    <w:rsid w:val="00A920CD"/>
    <w:rsid w:val="00A92EFC"/>
    <w:rsid w:val="00A94D4D"/>
    <w:rsid w:val="00AB0398"/>
    <w:rsid w:val="00AB247B"/>
    <w:rsid w:val="00AB5CEF"/>
    <w:rsid w:val="00AC1DB7"/>
    <w:rsid w:val="00AC2895"/>
    <w:rsid w:val="00AC3352"/>
    <w:rsid w:val="00AC6ACB"/>
    <w:rsid w:val="00AD3A2D"/>
    <w:rsid w:val="00AD4632"/>
    <w:rsid w:val="00AE105D"/>
    <w:rsid w:val="00AE11FD"/>
    <w:rsid w:val="00AE173D"/>
    <w:rsid w:val="00AE235B"/>
    <w:rsid w:val="00AE323B"/>
    <w:rsid w:val="00AE7F30"/>
    <w:rsid w:val="00AF0427"/>
    <w:rsid w:val="00AF193D"/>
    <w:rsid w:val="00AF1AC2"/>
    <w:rsid w:val="00AF7665"/>
    <w:rsid w:val="00B008E9"/>
    <w:rsid w:val="00B00E63"/>
    <w:rsid w:val="00B02083"/>
    <w:rsid w:val="00B038AF"/>
    <w:rsid w:val="00B045C9"/>
    <w:rsid w:val="00B13F2E"/>
    <w:rsid w:val="00B17217"/>
    <w:rsid w:val="00B23DFB"/>
    <w:rsid w:val="00B30C13"/>
    <w:rsid w:val="00B35A60"/>
    <w:rsid w:val="00B42CF4"/>
    <w:rsid w:val="00B44773"/>
    <w:rsid w:val="00B45A63"/>
    <w:rsid w:val="00B51582"/>
    <w:rsid w:val="00B61EB3"/>
    <w:rsid w:val="00B628B1"/>
    <w:rsid w:val="00B6405E"/>
    <w:rsid w:val="00B649F8"/>
    <w:rsid w:val="00B66DC4"/>
    <w:rsid w:val="00B72897"/>
    <w:rsid w:val="00B72A52"/>
    <w:rsid w:val="00B73774"/>
    <w:rsid w:val="00B74417"/>
    <w:rsid w:val="00B75FFC"/>
    <w:rsid w:val="00B7745A"/>
    <w:rsid w:val="00B77E20"/>
    <w:rsid w:val="00B857F7"/>
    <w:rsid w:val="00B8702F"/>
    <w:rsid w:val="00B91723"/>
    <w:rsid w:val="00B93EFF"/>
    <w:rsid w:val="00BA1D99"/>
    <w:rsid w:val="00BA210A"/>
    <w:rsid w:val="00BA3585"/>
    <w:rsid w:val="00BA4826"/>
    <w:rsid w:val="00BA5640"/>
    <w:rsid w:val="00BA5DC9"/>
    <w:rsid w:val="00BA5DFD"/>
    <w:rsid w:val="00BA6340"/>
    <w:rsid w:val="00BA6BB3"/>
    <w:rsid w:val="00BA71C3"/>
    <w:rsid w:val="00BB2AC3"/>
    <w:rsid w:val="00BB2C4E"/>
    <w:rsid w:val="00BB33DC"/>
    <w:rsid w:val="00BB48DC"/>
    <w:rsid w:val="00BB5340"/>
    <w:rsid w:val="00BC1DA9"/>
    <w:rsid w:val="00BC2666"/>
    <w:rsid w:val="00BC4313"/>
    <w:rsid w:val="00BD1469"/>
    <w:rsid w:val="00BD3E44"/>
    <w:rsid w:val="00BD4F94"/>
    <w:rsid w:val="00BD67A2"/>
    <w:rsid w:val="00BD7AB9"/>
    <w:rsid w:val="00BE28FE"/>
    <w:rsid w:val="00BE4A3E"/>
    <w:rsid w:val="00BE4CF0"/>
    <w:rsid w:val="00BF0E44"/>
    <w:rsid w:val="00BF1A4F"/>
    <w:rsid w:val="00BF5C89"/>
    <w:rsid w:val="00C06A5D"/>
    <w:rsid w:val="00C11E0B"/>
    <w:rsid w:val="00C20D0F"/>
    <w:rsid w:val="00C20D73"/>
    <w:rsid w:val="00C21CDD"/>
    <w:rsid w:val="00C25A2E"/>
    <w:rsid w:val="00C27FF9"/>
    <w:rsid w:val="00C30132"/>
    <w:rsid w:val="00C313F2"/>
    <w:rsid w:val="00C3748E"/>
    <w:rsid w:val="00C40C04"/>
    <w:rsid w:val="00C412C8"/>
    <w:rsid w:val="00C42AF1"/>
    <w:rsid w:val="00C460BE"/>
    <w:rsid w:val="00C47472"/>
    <w:rsid w:val="00C56CAF"/>
    <w:rsid w:val="00C61167"/>
    <w:rsid w:val="00C64BDA"/>
    <w:rsid w:val="00C64EB0"/>
    <w:rsid w:val="00C66356"/>
    <w:rsid w:val="00C74DE1"/>
    <w:rsid w:val="00C762C6"/>
    <w:rsid w:val="00C81874"/>
    <w:rsid w:val="00C82DE9"/>
    <w:rsid w:val="00C831FA"/>
    <w:rsid w:val="00C83EAB"/>
    <w:rsid w:val="00C84683"/>
    <w:rsid w:val="00C87E9A"/>
    <w:rsid w:val="00C91313"/>
    <w:rsid w:val="00C93F44"/>
    <w:rsid w:val="00C94995"/>
    <w:rsid w:val="00C9729D"/>
    <w:rsid w:val="00CA003A"/>
    <w:rsid w:val="00CA1BE2"/>
    <w:rsid w:val="00CA1EB3"/>
    <w:rsid w:val="00CA3DB4"/>
    <w:rsid w:val="00CA45D2"/>
    <w:rsid w:val="00CA51A2"/>
    <w:rsid w:val="00CB008F"/>
    <w:rsid w:val="00CB05D7"/>
    <w:rsid w:val="00CB3EE3"/>
    <w:rsid w:val="00CB5B2C"/>
    <w:rsid w:val="00CB63D1"/>
    <w:rsid w:val="00CB737C"/>
    <w:rsid w:val="00CB7532"/>
    <w:rsid w:val="00CC255B"/>
    <w:rsid w:val="00CC28A4"/>
    <w:rsid w:val="00CC5C49"/>
    <w:rsid w:val="00CC5EBA"/>
    <w:rsid w:val="00CC7FE9"/>
    <w:rsid w:val="00CD129C"/>
    <w:rsid w:val="00CD5739"/>
    <w:rsid w:val="00CD79C7"/>
    <w:rsid w:val="00CE0BF2"/>
    <w:rsid w:val="00CE2DA1"/>
    <w:rsid w:val="00CE3ACC"/>
    <w:rsid w:val="00CE43CE"/>
    <w:rsid w:val="00CF28A8"/>
    <w:rsid w:val="00CF3F9F"/>
    <w:rsid w:val="00CF6A24"/>
    <w:rsid w:val="00CF7BCD"/>
    <w:rsid w:val="00CF7ED6"/>
    <w:rsid w:val="00D0080A"/>
    <w:rsid w:val="00D05A4A"/>
    <w:rsid w:val="00D12D4B"/>
    <w:rsid w:val="00D137AD"/>
    <w:rsid w:val="00D17D1E"/>
    <w:rsid w:val="00D2097C"/>
    <w:rsid w:val="00D264A0"/>
    <w:rsid w:val="00D26602"/>
    <w:rsid w:val="00D2703B"/>
    <w:rsid w:val="00D274F9"/>
    <w:rsid w:val="00D3125B"/>
    <w:rsid w:val="00D314EE"/>
    <w:rsid w:val="00D31EBC"/>
    <w:rsid w:val="00D40187"/>
    <w:rsid w:val="00D40B11"/>
    <w:rsid w:val="00D468A3"/>
    <w:rsid w:val="00D60659"/>
    <w:rsid w:val="00D62295"/>
    <w:rsid w:val="00D62D08"/>
    <w:rsid w:val="00D709A7"/>
    <w:rsid w:val="00D71115"/>
    <w:rsid w:val="00D74948"/>
    <w:rsid w:val="00D74BA3"/>
    <w:rsid w:val="00D75150"/>
    <w:rsid w:val="00D754F2"/>
    <w:rsid w:val="00D760ED"/>
    <w:rsid w:val="00D80983"/>
    <w:rsid w:val="00D85CE4"/>
    <w:rsid w:val="00D87540"/>
    <w:rsid w:val="00D931EB"/>
    <w:rsid w:val="00D96C5F"/>
    <w:rsid w:val="00DA0190"/>
    <w:rsid w:val="00DA049B"/>
    <w:rsid w:val="00DB42E2"/>
    <w:rsid w:val="00DC01EF"/>
    <w:rsid w:val="00DC28C6"/>
    <w:rsid w:val="00DC6212"/>
    <w:rsid w:val="00DC7387"/>
    <w:rsid w:val="00DD076D"/>
    <w:rsid w:val="00DD11CA"/>
    <w:rsid w:val="00DD546A"/>
    <w:rsid w:val="00DD717C"/>
    <w:rsid w:val="00DE1AE2"/>
    <w:rsid w:val="00DE2BF3"/>
    <w:rsid w:val="00DE36B6"/>
    <w:rsid w:val="00DF1173"/>
    <w:rsid w:val="00DF5F74"/>
    <w:rsid w:val="00E010E4"/>
    <w:rsid w:val="00E028E2"/>
    <w:rsid w:val="00E029D7"/>
    <w:rsid w:val="00E07837"/>
    <w:rsid w:val="00E0796D"/>
    <w:rsid w:val="00E114C2"/>
    <w:rsid w:val="00E12D2F"/>
    <w:rsid w:val="00E17CE3"/>
    <w:rsid w:val="00E17D86"/>
    <w:rsid w:val="00E25F60"/>
    <w:rsid w:val="00E30C3C"/>
    <w:rsid w:val="00E364EE"/>
    <w:rsid w:val="00E37532"/>
    <w:rsid w:val="00E3755F"/>
    <w:rsid w:val="00E41101"/>
    <w:rsid w:val="00E412B8"/>
    <w:rsid w:val="00E4497E"/>
    <w:rsid w:val="00E47AE7"/>
    <w:rsid w:val="00E504F7"/>
    <w:rsid w:val="00E510F5"/>
    <w:rsid w:val="00E52E25"/>
    <w:rsid w:val="00E5617E"/>
    <w:rsid w:val="00E622D8"/>
    <w:rsid w:val="00E759AE"/>
    <w:rsid w:val="00E76169"/>
    <w:rsid w:val="00E7691D"/>
    <w:rsid w:val="00E811DC"/>
    <w:rsid w:val="00E812BF"/>
    <w:rsid w:val="00E8628E"/>
    <w:rsid w:val="00E8782D"/>
    <w:rsid w:val="00E90552"/>
    <w:rsid w:val="00E905C8"/>
    <w:rsid w:val="00E92506"/>
    <w:rsid w:val="00E96336"/>
    <w:rsid w:val="00EA793C"/>
    <w:rsid w:val="00EB0185"/>
    <w:rsid w:val="00EB6DBC"/>
    <w:rsid w:val="00EC1EC4"/>
    <w:rsid w:val="00ED7FF0"/>
    <w:rsid w:val="00EE29E9"/>
    <w:rsid w:val="00EE352F"/>
    <w:rsid w:val="00EF011B"/>
    <w:rsid w:val="00EF087C"/>
    <w:rsid w:val="00EF320C"/>
    <w:rsid w:val="00EF3CCC"/>
    <w:rsid w:val="00F0012E"/>
    <w:rsid w:val="00F03EF7"/>
    <w:rsid w:val="00F05B7E"/>
    <w:rsid w:val="00F060E7"/>
    <w:rsid w:val="00F06840"/>
    <w:rsid w:val="00F10907"/>
    <w:rsid w:val="00F10B09"/>
    <w:rsid w:val="00F168A9"/>
    <w:rsid w:val="00F235A0"/>
    <w:rsid w:val="00F2512D"/>
    <w:rsid w:val="00F25753"/>
    <w:rsid w:val="00F31C49"/>
    <w:rsid w:val="00F37F12"/>
    <w:rsid w:val="00F400E1"/>
    <w:rsid w:val="00F41267"/>
    <w:rsid w:val="00F438BD"/>
    <w:rsid w:val="00F45477"/>
    <w:rsid w:val="00F456BB"/>
    <w:rsid w:val="00F47BB5"/>
    <w:rsid w:val="00F503F4"/>
    <w:rsid w:val="00F5206B"/>
    <w:rsid w:val="00F52CB4"/>
    <w:rsid w:val="00F54DB7"/>
    <w:rsid w:val="00F553C6"/>
    <w:rsid w:val="00F55ED6"/>
    <w:rsid w:val="00F63663"/>
    <w:rsid w:val="00F66B69"/>
    <w:rsid w:val="00F66BE1"/>
    <w:rsid w:val="00F7013A"/>
    <w:rsid w:val="00F708FB"/>
    <w:rsid w:val="00F73362"/>
    <w:rsid w:val="00F73D9A"/>
    <w:rsid w:val="00F743BE"/>
    <w:rsid w:val="00F759B7"/>
    <w:rsid w:val="00F83A83"/>
    <w:rsid w:val="00F87C21"/>
    <w:rsid w:val="00F9005B"/>
    <w:rsid w:val="00F90B46"/>
    <w:rsid w:val="00F95179"/>
    <w:rsid w:val="00F96859"/>
    <w:rsid w:val="00FA1E04"/>
    <w:rsid w:val="00FA7019"/>
    <w:rsid w:val="00FA71F0"/>
    <w:rsid w:val="00FA7802"/>
    <w:rsid w:val="00FB26BE"/>
    <w:rsid w:val="00FB2F26"/>
    <w:rsid w:val="00FB314D"/>
    <w:rsid w:val="00FB46AD"/>
    <w:rsid w:val="00FB5B7A"/>
    <w:rsid w:val="00FC0141"/>
    <w:rsid w:val="00FC09A6"/>
    <w:rsid w:val="00FC1034"/>
    <w:rsid w:val="00FC589C"/>
    <w:rsid w:val="00FD0AFC"/>
    <w:rsid w:val="00FD5941"/>
    <w:rsid w:val="00FE032B"/>
    <w:rsid w:val="00FE10B3"/>
    <w:rsid w:val="00FE282E"/>
    <w:rsid w:val="00FE3114"/>
    <w:rsid w:val="00FE59FD"/>
    <w:rsid w:val="00FF1F7A"/>
    <w:rsid w:val="00FF4D68"/>
    <w:rsid w:val="00FF7E1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8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019"/>
    <w:pPr>
      <w:ind w:left="720"/>
    </w:pPr>
  </w:style>
  <w:style w:type="table" w:styleId="TableGrid">
    <w:name w:val="Table Grid"/>
    <w:basedOn w:val="TableNormal"/>
    <w:uiPriority w:val="59"/>
    <w:rsid w:val="00085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693CDF"/>
    <w:rPr>
      <w:sz w:val="16"/>
      <w:szCs w:val="16"/>
    </w:rPr>
  </w:style>
  <w:style w:type="paragraph" w:styleId="CommentText">
    <w:name w:val="annotation text"/>
    <w:basedOn w:val="Normal"/>
    <w:link w:val="CommentTextChar"/>
    <w:uiPriority w:val="99"/>
    <w:semiHidden/>
    <w:unhideWhenUsed/>
    <w:rsid w:val="00693CDF"/>
    <w:rPr>
      <w:sz w:val="20"/>
      <w:szCs w:val="20"/>
      <w:lang/>
    </w:rPr>
  </w:style>
  <w:style w:type="character" w:customStyle="1" w:styleId="CommentTextChar">
    <w:name w:val="Comment Text Char"/>
    <w:link w:val="CommentText"/>
    <w:uiPriority w:val="99"/>
    <w:semiHidden/>
    <w:rsid w:val="00693CDF"/>
    <w:rPr>
      <w:lang w:eastAsia="en-US"/>
    </w:rPr>
  </w:style>
  <w:style w:type="paragraph" w:styleId="CommentSubject">
    <w:name w:val="annotation subject"/>
    <w:basedOn w:val="CommentText"/>
    <w:next w:val="CommentText"/>
    <w:link w:val="CommentSubjectChar"/>
    <w:uiPriority w:val="99"/>
    <w:semiHidden/>
    <w:unhideWhenUsed/>
    <w:rsid w:val="00693CDF"/>
    <w:rPr>
      <w:b/>
      <w:bCs/>
    </w:rPr>
  </w:style>
  <w:style w:type="character" w:customStyle="1" w:styleId="CommentSubjectChar">
    <w:name w:val="Comment Subject Char"/>
    <w:link w:val="CommentSubject"/>
    <w:uiPriority w:val="99"/>
    <w:semiHidden/>
    <w:rsid w:val="00693CDF"/>
    <w:rPr>
      <w:b/>
      <w:bCs/>
      <w:lang w:eastAsia="en-US"/>
    </w:rPr>
  </w:style>
  <w:style w:type="paragraph" w:styleId="BalloonText">
    <w:name w:val="Balloon Text"/>
    <w:basedOn w:val="Normal"/>
    <w:link w:val="BalloonTextChar"/>
    <w:uiPriority w:val="99"/>
    <w:semiHidden/>
    <w:unhideWhenUsed/>
    <w:rsid w:val="00693CDF"/>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693CDF"/>
    <w:rPr>
      <w:rFonts w:ascii="Tahoma" w:hAnsi="Tahoma" w:cs="Tahoma"/>
      <w:sz w:val="16"/>
      <w:szCs w:val="16"/>
      <w:lang w:eastAsia="en-US"/>
    </w:rPr>
  </w:style>
  <w:style w:type="character" w:styleId="Hyperlink">
    <w:name w:val="Hyperlink"/>
    <w:rsid w:val="000F63A6"/>
    <w:rPr>
      <w:color w:val="0000FF"/>
      <w:u w:val="single"/>
    </w:rPr>
  </w:style>
  <w:style w:type="paragraph" w:styleId="FootnoteText">
    <w:name w:val="footnote text"/>
    <w:basedOn w:val="Normal"/>
    <w:link w:val="FootnoteTextChar"/>
    <w:uiPriority w:val="99"/>
    <w:unhideWhenUsed/>
    <w:rsid w:val="00A13724"/>
    <w:rPr>
      <w:sz w:val="20"/>
      <w:szCs w:val="20"/>
      <w:lang/>
    </w:rPr>
  </w:style>
  <w:style w:type="character" w:customStyle="1" w:styleId="FootnoteTextChar">
    <w:name w:val="Footnote Text Char"/>
    <w:link w:val="FootnoteText"/>
    <w:uiPriority w:val="99"/>
    <w:rsid w:val="00A13724"/>
    <w:rPr>
      <w:lang w:eastAsia="en-US"/>
    </w:rPr>
  </w:style>
  <w:style w:type="character" w:styleId="FootnoteReference">
    <w:name w:val="footnote reference"/>
    <w:uiPriority w:val="99"/>
    <w:semiHidden/>
    <w:unhideWhenUsed/>
    <w:rsid w:val="00A13724"/>
    <w:rPr>
      <w:vertAlign w:val="superscript"/>
    </w:rPr>
  </w:style>
  <w:style w:type="paragraph" w:customStyle="1" w:styleId="Secondheading">
    <w:name w:val="Second heading"/>
    <w:basedOn w:val="Normal"/>
    <w:rsid w:val="00173D3A"/>
    <w:pPr>
      <w:keepNext/>
      <w:spacing w:before="120" w:after="0" w:line="240" w:lineRule="auto"/>
    </w:pPr>
    <w:rPr>
      <w:rFonts w:ascii="Times New Roman Bold" w:eastAsia="Times New Roman" w:hAnsi="Times New Roman Bold" w:cs="Times New Roman Bold"/>
      <w:b/>
      <w:bCs/>
      <w:smallCaps/>
      <w:sz w:val="28"/>
      <w:szCs w:val="28"/>
    </w:rPr>
  </w:style>
  <w:style w:type="paragraph" w:styleId="NormalWeb">
    <w:name w:val="Normal (Web)"/>
    <w:basedOn w:val="Normal"/>
    <w:uiPriority w:val="99"/>
    <w:unhideWhenUsed/>
    <w:rsid w:val="00891E9C"/>
    <w:pPr>
      <w:spacing w:before="360" w:after="360" w:line="240" w:lineRule="auto"/>
    </w:pPr>
    <w:rPr>
      <w:rFonts w:ascii="Times New Roman" w:eastAsia="Times New Roman" w:hAnsi="Times New Roman"/>
      <w:sz w:val="24"/>
      <w:szCs w:val="24"/>
      <w:lang w:eastAsia="en-IE"/>
    </w:rPr>
  </w:style>
  <w:style w:type="paragraph" w:customStyle="1" w:styleId="style1">
    <w:name w:val="style1"/>
    <w:basedOn w:val="Normal"/>
    <w:rsid w:val="001B3F03"/>
    <w:pPr>
      <w:spacing w:before="100" w:beforeAutospacing="1" w:after="100" w:afterAutospacing="1" w:line="240" w:lineRule="auto"/>
    </w:pPr>
    <w:rPr>
      <w:rFonts w:ascii="Times New Roman" w:eastAsia="Times New Roman" w:hAnsi="Times New Roman"/>
      <w:color w:val="000000"/>
      <w:sz w:val="36"/>
      <w:szCs w:val="36"/>
      <w:lang w:eastAsia="en-IE"/>
    </w:rPr>
  </w:style>
  <w:style w:type="character" w:styleId="Strong">
    <w:name w:val="Strong"/>
    <w:basedOn w:val="DefaultParagraphFont"/>
    <w:uiPriority w:val="22"/>
    <w:qFormat/>
    <w:rsid w:val="001B3F03"/>
    <w:rPr>
      <w:b/>
      <w:bCs/>
    </w:rPr>
  </w:style>
  <w:style w:type="paragraph" w:styleId="Header">
    <w:name w:val="header"/>
    <w:basedOn w:val="Normal"/>
    <w:link w:val="HeaderChar"/>
    <w:uiPriority w:val="99"/>
    <w:unhideWhenUsed/>
    <w:rsid w:val="00366C23"/>
    <w:pPr>
      <w:tabs>
        <w:tab w:val="center" w:pos="4513"/>
        <w:tab w:val="right" w:pos="9026"/>
      </w:tabs>
    </w:pPr>
  </w:style>
  <w:style w:type="character" w:customStyle="1" w:styleId="HeaderChar">
    <w:name w:val="Header Char"/>
    <w:basedOn w:val="DefaultParagraphFont"/>
    <w:link w:val="Header"/>
    <w:uiPriority w:val="99"/>
    <w:rsid w:val="00366C23"/>
    <w:rPr>
      <w:sz w:val="22"/>
      <w:szCs w:val="22"/>
      <w:lang w:eastAsia="en-US"/>
    </w:rPr>
  </w:style>
  <w:style w:type="paragraph" w:styleId="Footer">
    <w:name w:val="footer"/>
    <w:basedOn w:val="Normal"/>
    <w:link w:val="FooterChar"/>
    <w:uiPriority w:val="99"/>
    <w:unhideWhenUsed/>
    <w:rsid w:val="00366C23"/>
    <w:pPr>
      <w:tabs>
        <w:tab w:val="center" w:pos="4513"/>
        <w:tab w:val="right" w:pos="9026"/>
      </w:tabs>
    </w:pPr>
  </w:style>
  <w:style w:type="character" w:customStyle="1" w:styleId="FooterChar">
    <w:name w:val="Footer Char"/>
    <w:basedOn w:val="DefaultParagraphFont"/>
    <w:link w:val="Footer"/>
    <w:uiPriority w:val="99"/>
    <w:rsid w:val="00366C23"/>
    <w:rPr>
      <w:sz w:val="22"/>
      <w:szCs w:val="22"/>
      <w:lang w:eastAsia="en-US"/>
    </w:rPr>
  </w:style>
  <w:style w:type="paragraph" w:styleId="EndnoteText">
    <w:name w:val="endnote text"/>
    <w:basedOn w:val="Normal"/>
    <w:link w:val="EndnoteTextChar"/>
    <w:uiPriority w:val="99"/>
    <w:semiHidden/>
    <w:unhideWhenUsed/>
    <w:rsid w:val="00536756"/>
    <w:rPr>
      <w:sz w:val="20"/>
      <w:szCs w:val="20"/>
    </w:rPr>
  </w:style>
  <w:style w:type="character" w:customStyle="1" w:styleId="EndnoteTextChar">
    <w:name w:val="Endnote Text Char"/>
    <w:basedOn w:val="DefaultParagraphFont"/>
    <w:link w:val="EndnoteText"/>
    <w:uiPriority w:val="99"/>
    <w:semiHidden/>
    <w:rsid w:val="00536756"/>
    <w:rPr>
      <w:lang w:eastAsia="en-US"/>
    </w:rPr>
  </w:style>
  <w:style w:type="character" w:styleId="EndnoteReference">
    <w:name w:val="endnote reference"/>
    <w:uiPriority w:val="99"/>
    <w:semiHidden/>
    <w:unhideWhenUsed/>
    <w:rsid w:val="00536756"/>
    <w:rPr>
      <w:vertAlign w:val="superscript"/>
    </w:rPr>
  </w:style>
  <w:style w:type="paragraph" w:styleId="Revision">
    <w:name w:val="Revision"/>
    <w:hidden/>
    <w:uiPriority w:val="99"/>
    <w:semiHidden/>
    <w:rsid w:val="00F2575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019"/>
    <w:pPr>
      <w:ind w:left="720"/>
    </w:pPr>
  </w:style>
  <w:style w:type="table" w:styleId="TableGrid">
    <w:name w:val="Table Grid"/>
    <w:basedOn w:val="TableNormal"/>
    <w:uiPriority w:val="59"/>
    <w:rsid w:val="00085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93CDF"/>
    <w:rPr>
      <w:sz w:val="16"/>
      <w:szCs w:val="16"/>
    </w:rPr>
  </w:style>
  <w:style w:type="paragraph" w:styleId="CommentText">
    <w:name w:val="annotation text"/>
    <w:basedOn w:val="Normal"/>
    <w:link w:val="CommentTextChar"/>
    <w:uiPriority w:val="99"/>
    <w:semiHidden/>
    <w:unhideWhenUsed/>
    <w:rsid w:val="00693CDF"/>
    <w:rPr>
      <w:sz w:val="20"/>
      <w:szCs w:val="20"/>
      <w:lang w:val="x-none"/>
    </w:rPr>
  </w:style>
  <w:style w:type="character" w:customStyle="1" w:styleId="CommentTextChar">
    <w:name w:val="Comment Text Char"/>
    <w:link w:val="CommentText"/>
    <w:uiPriority w:val="99"/>
    <w:semiHidden/>
    <w:rsid w:val="00693CDF"/>
    <w:rPr>
      <w:lang w:eastAsia="en-US"/>
    </w:rPr>
  </w:style>
  <w:style w:type="paragraph" w:styleId="CommentSubject">
    <w:name w:val="annotation subject"/>
    <w:basedOn w:val="CommentText"/>
    <w:next w:val="CommentText"/>
    <w:link w:val="CommentSubjectChar"/>
    <w:uiPriority w:val="99"/>
    <w:semiHidden/>
    <w:unhideWhenUsed/>
    <w:rsid w:val="00693CDF"/>
    <w:rPr>
      <w:b/>
      <w:bCs/>
    </w:rPr>
  </w:style>
  <w:style w:type="character" w:customStyle="1" w:styleId="CommentSubjectChar">
    <w:name w:val="Comment Subject Char"/>
    <w:link w:val="CommentSubject"/>
    <w:uiPriority w:val="99"/>
    <w:semiHidden/>
    <w:rsid w:val="00693CDF"/>
    <w:rPr>
      <w:b/>
      <w:bCs/>
      <w:lang w:eastAsia="en-US"/>
    </w:rPr>
  </w:style>
  <w:style w:type="paragraph" w:styleId="BalloonText">
    <w:name w:val="Balloon Text"/>
    <w:basedOn w:val="Normal"/>
    <w:link w:val="BalloonTextChar"/>
    <w:uiPriority w:val="99"/>
    <w:semiHidden/>
    <w:unhideWhenUsed/>
    <w:rsid w:val="00693CDF"/>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693CDF"/>
    <w:rPr>
      <w:rFonts w:ascii="Tahoma" w:hAnsi="Tahoma" w:cs="Tahoma"/>
      <w:sz w:val="16"/>
      <w:szCs w:val="16"/>
      <w:lang w:eastAsia="en-US"/>
    </w:rPr>
  </w:style>
  <w:style w:type="character" w:styleId="Hyperlink">
    <w:name w:val="Hyperlink"/>
    <w:rsid w:val="000F63A6"/>
    <w:rPr>
      <w:color w:val="0000FF"/>
      <w:u w:val="single"/>
    </w:rPr>
  </w:style>
  <w:style w:type="paragraph" w:styleId="FootnoteText">
    <w:name w:val="footnote text"/>
    <w:basedOn w:val="Normal"/>
    <w:link w:val="FootnoteTextChar"/>
    <w:uiPriority w:val="99"/>
    <w:unhideWhenUsed/>
    <w:rsid w:val="00A13724"/>
    <w:rPr>
      <w:sz w:val="20"/>
      <w:szCs w:val="20"/>
      <w:lang w:val="x-none"/>
    </w:rPr>
  </w:style>
  <w:style w:type="character" w:customStyle="1" w:styleId="FootnoteTextChar">
    <w:name w:val="Footnote Text Char"/>
    <w:link w:val="FootnoteText"/>
    <w:uiPriority w:val="99"/>
    <w:rsid w:val="00A13724"/>
    <w:rPr>
      <w:lang w:eastAsia="en-US"/>
    </w:rPr>
  </w:style>
  <w:style w:type="character" w:styleId="FootnoteReference">
    <w:name w:val="footnote reference"/>
    <w:uiPriority w:val="99"/>
    <w:semiHidden/>
    <w:unhideWhenUsed/>
    <w:rsid w:val="00A13724"/>
    <w:rPr>
      <w:vertAlign w:val="superscript"/>
    </w:rPr>
  </w:style>
  <w:style w:type="paragraph" w:customStyle="1" w:styleId="Secondheading">
    <w:name w:val="Second heading"/>
    <w:basedOn w:val="Normal"/>
    <w:rsid w:val="00173D3A"/>
    <w:pPr>
      <w:keepNext/>
      <w:spacing w:before="120" w:after="0" w:line="240" w:lineRule="auto"/>
    </w:pPr>
    <w:rPr>
      <w:rFonts w:ascii="Times New Roman Bold" w:eastAsia="Times New Roman" w:hAnsi="Times New Roman Bold" w:cs="Times New Roman Bold"/>
      <w:b/>
      <w:bCs/>
      <w:smallCaps/>
      <w:sz w:val="28"/>
      <w:szCs w:val="28"/>
    </w:rPr>
  </w:style>
  <w:style w:type="paragraph" w:styleId="NormalWeb">
    <w:name w:val="Normal (Web)"/>
    <w:basedOn w:val="Normal"/>
    <w:uiPriority w:val="99"/>
    <w:unhideWhenUsed/>
    <w:rsid w:val="00891E9C"/>
    <w:pPr>
      <w:spacing w:before="360" w:after="360" w:line="240" w:lineRule="auto"/>
    </w:pPr>
    <w:rPr>
      <w:rFonts w:ascii="Times New Roman" w:eastAsia="Times New Roman" w:hAnsi="Times New Roman"/>
      <w:sz w:val="24"/>
      <w:szCs w:val="24"/>
      <w:lang w:eastAsia="en-IE"/>
    </w:rPr>
  </w:style>
  <w:style w:type="paragraph" w:customStyle="1" w:styleId="style1">
    <w:name w:val="style1"/>
    <w:basedOn w:val="Normal"/>
    <w:rsid w:val="001B3F03"/>
    <w:pPr>
      <w:spacing w:before="100" w:beforeAutospacing="1" w:after="100" w:afterAutospacing="1" w:line="240" w:lineRule="auto"/>
    </w:pPr>
    <w:rPr>
      <w:rFonts w:ascii="Times New Roman" w:eastAsia="Times New Roman" w:hAnsi="Times New Roman"/>
      <w:color w:val="000000"/>
      <w:sz w:val="36"/>
      <w:szCs w:val="36"/>
      <w:lang w:eastAsia="en-IE"/>
    </w:rPr>
  </w:style>
  <w:style w:type="character" w:styleId="Strong">
    <w:name w:val="Strong"/>
    <w:basedOn w:val="DefaultParagraphFont"/>
    <w:uiPriority w:val="22"/>
    <w:qFormat/>
    <w:rsid w:val="001B3F03"/>
    <w:rPr>
      <w:b/>
      <w:bCs/>
    </w:rPr>
  </w:style>
  <w:style w:type="paragraph" w:styleId="Header">
    <w:name w:val="header"/>
    <w:basedOn w:val="Normal"/>
    <w:link w:val="HeaderChar"/>
    <w:uiPriority w:val="99"/>
    <w:unhideWhenUsed/>
    <w:rsid w:val="00366C23"/>
    <w:pPr>
      <w:tabs>
        <w:tab w:val="center" w:pos="4513"/>
        <w:tab w:val="right" w:pos="9026"/>
      </w:tabs>
    </w:pPr>
  </w:style>
  <w:style w:type="character" w:customStyle="1" w:styleId="HeaderChar">
    <w:name w:val="Header Char"/>
    <w:basedOn w:val="DefaultParagraphFont"/>
    <w:link w:val="Header"/>
    <w:uiPriority w:val="99"/>
    <w:rsid w:val="00366C23"/>
    <w:rPr>
      <w:sz w:val="22"/>
      <w:szCs w:val="22"/>
      <w:lang w:eastAsia="en-US"/>
    </w:rPr>
  </w:style>
  <w:style w:type="paragraph" w:styleId="Footer">
    <w:name w:val="footer"/>
    <w:basedOn w:val="Normal"/>
    <w:link w:val="FooterChar"/>
    <w:uiPriority w:val="99"/>
    <w:unhideWhenUsed/>
    <w:rsid w:val="00366C23"/>
    <w:pPr>
      <w:tabs>
        <w:tab w:val="center" w:pos="4513"/>
        <w:tab w:val="right" w:pos="9026"/>
      </w:tabs>
    </w:pPr>
  </w:style>
  <w:style w:type="character" w:customStyle="1" w:styleId="FooterChar">
    <w:name w:val="Footer Char"/>
    <w:basedOn w:val="DefaultParagraphFont"/>
    <w:link w:val="Footer"/>
    <w:uiPriority w:val="99"/>
    <w:rsid w:val="00366C23"/>
    <w:rPr>
      <w:sz w:val="22"/>
      <w:szCs w:val="22"/>
      <w:lang w:eastAsia="en-US"/>
    </w:rPr>
  </w:style>
  <w:style w:type="paragraph" w:styleId="EndnoteText">
    <w:name w:val="endnote text"/>
    <w:basedOn w:val="Normal"/>
    <w:link w:val="EndnoteTextChar"/>
    <w:uiPriority w:val="99"/>
    <w:semiHidden/>
    <w:unhideWhenUsed/>
    <w:rsid w:val="00536756"/>
    <w:rPr>
      <w:sz w:val="20"/>
      <w:szCs w:val="20"/>
    </w:rPr>
  </w:style>
  <w:style w:type="character" w:customStyle="1" w:styleId="EndnoteTextChar">
    <w:name w:val="Endnote Text Char"/>
    <w:basedOn w:val="DefaultParagraphFont"/>
    <w:link w:val="EndnoteText"/>
    <w:uiPriority w:val="99"/>
    <w:semiHidden/>
    <w:rsid w:val="00536756"/>
    <w:rPr>
      <w:lang w:eastAsia="en-US"/>
    </w:rPr>
  </w:style>
  <w:style w:type="character" w:styleId="EndnoteReference">
    <w:name w:val="endnote reference"/>
    <w:uiPriority w:val="99"/>
    <w:semiHidden/>
    <w:unhideWhenUsed/>
    <w:rsid w:val="00536756"/>
    <w:rPr>
      <w:vertAlign w:val="superscript"/>
    </w:rPr>
  </w:style>
  <w:style w:type="paragraph" w:styleId="Revision">
    <w:name w:val="Revision"/>
    <w:hidden/>
    <w:uiPriority w:val="99"/>
    <w:semiHidden/>
    <w:rsid w:val="00F25753"/>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6650085">
      <w:bodyDiv w:val="1"/>
      <w:marLeft w:val="2268"/>
      <w:marRight w:val="2268"/>
      <w:marTop w:val="567"/>
      <w:marBottom w:val="0"/>
      <w:divBdr>
        <w:top w:val="none" w:sz="0" w:space="0" w:color="auto"/>
        <w:left w:val="none" w:sz="0" w:space="0" w:color="auto"/>
        <w:bottom w:val="none" w:sz="0" w:space="0" w:color="auto"/>
        <w:right w:val="none" w:sz="0" w:space="0" w:color="auto"/>
      </w:divBdr>
    </w:div>
    <w:div w:id="297226319">
      <w:bodyDiv w:val="1"/>
      <w:marLeft w:val="0"/>
      <w:marRight w:val="0"/>
      <w:marTop w:val="0"/>
      <w:marBottom w:val="0"/>
      <w:divBdr>
        <w:top w:val="none" w:sz="0" w:space="0" w:color="auto"/>
        <w:left w:val="none" w:sz="0" w:space="0" w:color="auto"/>
        <w:bottom w:val="none" w:sz="0" w:space="0" w:color="auto"/>
        <w:right w:val="none" w:sz="0" w:space="0" w:color="auto"/>
      </w:divBdr>
    </w:div>
    <w:div w:id="642467112">
      <w:bodyDiv w:val="1"/>
      <w:marLeft w:val="0"/>
      <w:marRight w:val="0"/>
      <w:marTop w:val="0"/>
      <w:marBottom w:val="0"/>
      <w:divBdr>
        <w:top w:val="none" w:sz="0" w:space="0" w:color="auto"/>
        <w:left w:val="none" w:sz="0" w:space="0" w:color="auto"/>
        <w:bottom w:val="none" w:sz="0" w:space="0" w:color="auto"/>
        <w:right w:val="none" w:sz="0" w:space="0" w:color="auto"/>
      </w:divBdr>
    </w:div>
    <w:div w:id="690842220">
      <w:bodyDiv w:val="1"/>
      <w:marLeft w:val="0"/>
      <w:marRight w:val="0"/>
      <w:marTop w:val="0"/>
      <w:marBottom w:val="0"/>
      <w:divBdr>
        <w:top w:val="none" w:sz="0" w:space="0" w:color="auto"/>
        <w:left w:val="none" w:sz="0" w:space="0" w:color="auto"/>
        <w:bottom w:val="none" w:sz="0" w:space="0" w:color="auto"/>
        <w:right w:val="none" w:sz="0" w:space="0" w:color="auto"/>
      </w:divBdr>
    </w:div>
    <w:div w:id="1424915333">
      <w:bodyDiv w:val="1"/>
      <w:marLeft w:val="0"/>
      <w:marRight w:val="0"/>
      <w:marTop w:val="0"/>
      <w:marBottom w:val="0"/>
      <w:divBdr>
        <w:top w:val="none" w:sz="0" w:space="0" w:color="auto"/>
        <w:left w:val="none" w:sz="0" w:space="0" w:color="auto"/>
        <w:bottom w:val="none" w:sz="0" w:space="0" w:color="auto"/>
        <w:right w:val="none" w:sz="0" w:space="0" w:color="auto"/>
      </w:divBdr>
    </w:div>
    <w:div w:id="1506937218">
      <w:bodyDiv w:val="1"/>
      <w:marLeft w:val="0"/>
      <w:marRight w:val="0"/>
      <w:marTop w:val="0"/>
      <w:marBottom w:val="0"/>
      <w:divBdr>
        <w:top w:val="none" w:sz="0" w:space="0" w:color="auto"/>
        <w:left w:val="none" w:sz="0" w:space="0" w:color="auto"/>
        <w:bottom w:val="none" w:sz="0" w:space="0" w:color="auto"/>
        <w:right w:val="none" w:sz="0" w:space="0" w:color="auto"/>
      </w:divBdr>
      <w:divsChild>
        <w:div w:id="349380609">
          <w:marLeft w:val="0"/>
          <w:marRight w:val="0"/>
          <w:marTop w:val="0"/>
          <w:marBottom w:val="0"/>
          <w:divBdr>
            <w:top w:val="none" w:sz="0" w:space="0" w:color="auto"/>
            <w:left w:val="none" w:sz="0" w:space="0" w:color="auto"/>
            <w:bottom w:val="none" w:sz="0" w:space="0" w:color="auto"/>
            <w:right w:val="none" w:sz="0" w:space="0" w:color="auto"/>
          </w:divBdr>
          <w:divsChild>
            <w:div w:id="432670868">
              <w:marLeft w:val="0"/>
              <w:marRight w:val="0"/>
              <w:marTop w:val="0"/>
              <w:marBottom w:val="0"/>
              <w:divBdr>
                <w:top w:val="none" w:sz="0" w:space="0" w:color="auto"/>
                <w:left w:val="none" w:sz="0" w:space="0" w:color="auto"/>
                <w:bottom w:val="none" w:sz="0" w:space="0" w:color="auto"/>
                <w:right w:val="none" w:sz="0" w:space="0" w:color="auto"/>
              </w:divBdr>
              <w:divsChild>
                <w:div w:id="127208519">
                  <w:marLeft w:val="0"/>
                  <w:marRight w:val="0"/>
                  <w:marTop w:val="0"/>
                  <w:marBottom w:val="0"/>
                  <w:divBdr>
                    <w:top w:val="none" w:sz="0" w:space="0" w:color="auto"/>
                    <w:left w:val="none" w:sz="0" w:space="0" w:color="auto"/>
                    <w:bottom w:val="none" w:sz="0" w:space="0" w:color="auto"/>
                    <w:right w:val="none" w:sz="0" w:space="0" w:color="auto"/>
                  </w:divBdr>
                  <w:divsChild>
                    <w:div w:id="44204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710586">
      <w:bodyDiv w:val="1"/>
      <w:marLeft w:val="0"/>
      <w:marRight w:val="0"/>
      <w:marTop w:val="0"/>
      <w:marBottom w:val="0"/>
      <w:divBdr>
        <w:top w:val="none" w:sz="0" w:space="0" w:color="auto"/>
        <w:left w:val="none" w:sz="0" w:space="0" w:color="auto"/>
        <w:bottom w:val="none" w:sz="0" w:space="0" w:color="auto"/>
        <w:right w:val="none" w:sz="0" w:space="0" w:color="auto"/>
      </w:divBdr>
    </w:div>
    <w:div w:id="186420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D8C79-1462-4291-A776-0C482494B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9425</Words>
  <Characters>53728</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Department</Company>
  <LinksUpToDate>false</LinksUpToDate>
  <CharactersWithSpaces>63027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Niamh O'Flaherty</dc:creator>
  <cp:lastModifiedBy>jack.nolan</cp:lastModifiedBy>
  <cp:revision>2</cp:revision>
  <cp:lastPrinted>2017-09-04T14:50:00Z</cp:lastPrinted>
  <dcterms:created xsi:type="dcterms:W3CDTF">2017-09-08T08:42:00Z</dcterms:created>
  <dcterms:modified xsi:type="dcterms:W3CDTF">2017-09-08T08:42:00Z</dcterms:modified>
</cp:coreProperties>
</file>