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A2C" w:rsidRDefault="00EB4A2C" w:rsidP="00304366">
      <w:pPr>
        <w:spacing w:after="0" w:line="360" w:lineRule="auto"/>
        <w:jc w:val="center"/>
        <w:rPr>
          <w:rFonts w:ascii="Times New Roman" w:hAnsi="Times New Roman" w:cs="Times New Roman"/>
          <w:b/>
          <w:sz w:val="32"/>
          <w:szCs w:val="32"/>
        </w:rPr>
      </w:pPr>
    </w:p>
    <w:p w:rsidR="00EB4A2C" w:rsidRDefault="00EB4A2C" w:rsidP="00304366">
      <w:pPr>
        <w:spacing w:after="0" w:line="360" w:lineRule="auto"/>
        <w:jc w:val="center"/>
        <w:rPr>
          <w:rFonts w:ascii="Times New Roman" w:hAnsi="Times New Roman" w:cs="Times New Roman"/>
          <w:b/>
          <w:sz w:val="32"/>
          <w:szCs w:val="32"/>
        </w:rPr>
      </w:pPr>
    </w:p>
    <w:p w:rsidR="003E1420" w:rsidRDefault="003E1420" w:rsidP="00783251">
      <w:pPr>
        <w:jc w:val="center"/>
        <w:rPr>
          <w:rFonts w:ascii="Times New Roman" w:hAnsi="Times New Roman"/>
          <w:b/>
          <w:smallCaps/>
          <w:color w:val="1F4E79" w:themeColor="accent1" w:themeShade="80"/>
          <w:spacing w:val="5"/>
          <w:sz w:val="36"/>
          <w:szCs w:val="36"/>
          <w:u w:val="double" w:color="1F4E79" w:themeColor="accent1" w:themeShade="80"/>
          <w:lang w:bidi="en-US"/>
        </w:rPr>
      </w:pPr>
      <w:bookmarkStart w:id="0" w:name="_Toc399850228"/>
      <w:bookmarkStart w:id="1" w:name="_Toc399850309"/>
    </w:p>
    <w:p w:rsidR="003E1420" w:rsidRDefault="003E1420" w:rsidP="00783251">
      <w:pPr>
        <w:jc w:val="center"/>
        <w:rPr>
          <w:rFonts w:ascii="Times New Roman" w:hAnsi="Times New Roman"/>
          <w:b/>
          <w:smallCaps/>
          <w:color w:val="1F4E79" w:themeColor="accent1" w:themeShade="80"/>
          <w:spacing w:val="5"/>
          <w:sz w:val="36"/>
          <w:szCs w:val="36"/>
          <w:u w:val="double" w:color="1F4E79" w:themeColor="accent1" w:themeShade="80"/>
          <w:lang w:bidi="en-US"/>
        </w:rPr>
      </w:pPr>
    </w:p>
    <w:p w:rsidR="00EF0E20" w:rsidRPr="00783251" w:rsidRDefault="00304366" w:rsidP="00783251">
      <w:pPr>
        <w:jc w:val="center"/>
        <w:rPr>
          <w:rFonts w:ascii="Times New Roman" w:hAnsi="Times New Roman"/>
          <w:b/>
          <w:smallCaps/>
          <w:color w:val="1F4E79" w:themeColor="accent1" w:themeShade="80"/>
          <w:spacing w:val="5"/>
          <w:sz w:val="36"/>
          <w:szCs w:val="36"/>
          <w:u w:val="double" w:color="1F4E79" w:themeColor="accent1" w:themeShade="80"/>
          <w:lang w:bidi="en-US"/>
        </w:rPr>
      </w:pPr>
      <w:r w:rsidRPr="00783251">
        <w:rPr>
          <w:rFonts w:ascii="Times New Roman" w:hAnsi="Times New Roman"/>
          <w:b/>
          <w:smallCaps/>
          <w:color w:val="1F4E79" w:themeColor="accent1" w:themeShade="80"/>
          <w:spacing w:val="5"/>
          <w:sz w:val="36"/>
          <w:szCs w:val="36"/>
          <w:u w:val="double" w:color="1F4E79" w:themeColor="accent1" w:themeShade="80"/>
          <w:lang w:bidi="en-US"/>
        </w:rPr>
        <w:t>Background Paper</w:t>
      </w:r>
      <w:bookmarkEnd w:id="0"/>
      <w:bookmarkEnd w:id="1"/>
    </w:p>
    <w:p w:rsidR="00BB6C36" w:rsidRPr="00783251" w:rsidRDefault="00304366" w:rsidP="00783251">
      <w:pPr>
        <w:jc w:val="center"/>
        <w:rPr>
          <w:rFonts w:ascii="Times New Roman" w:hAnsi="Times New Roman"/>
          <w:b/>
          <w:smallCaps/>
          <w:color w:val="1F4E79" w:themeColor="accent1" w:themeShade="80"/>
          <w:spacing w:val="5"/>
          <w:sz w:val="36"/>
          <w:szCs w:val="36"/>
          <w:u w:val="double" w:color="1F4E79" w:themeColor="accent1" w:themeShade="80"/>
          <w:lang w:bidi="en-US"/>
        </w:rPr>
      </w:pPr>
      <w:bookmarkStart w:id="2" w:name="_Toc399850229"/>
      <w:bookmarkStart w:id="3" w:name="_Toc399850310"/>
      <w:r w:rsidRPr="00783251">
        <w:rPr>
          <w:rFonts w:ascii="Times New Roman" w:hAnsi="Times New Roman"/>
          <w:b/>
          <w:smallCaps/>
          <w:color w:val="1F4E79" w:themeColor="accent1" w:themeShade="80"/>
          <w:spacing w:val="5"/>
          <w:sz w:val="36"/>
          <w:szCs w:val="36"/>
          <w:u w:val="double" w:color="1F4E79" w:themeColor="accent1" w:themeShade="80"/>
          <w:lang w:bidi="en-US"/>
        </w:rPr>
        <w:t>Farm incomes, farm structures and agri</w:t>
      </w:r>
      <w:r w:rsidR="00BA0BCC">
        <w:rPr>
          <w:rFonts w:ascii="Times New Roman" w:hAnsi="Times New Roman"/>
          <w:b/>
          <w:smallCaps/>
          <w:color w:val="1F4E79" w:themeColor="accent1" w:themeShade="80"/>
          <w:spacing w:val="5"/>
          <w:sz w:val="36"/>
          <w:szCs w:val="36"/>
          <w:u w:val="double" w:color="1F4E79" w:themeColor="accent1" w:themeShade="80"/>
          <w:lang w:bidi="en-US"/>
        </w:rPr>
        <w:t>-</w:t>
      </w:r>
      <w:r w:rsidRPr="00783251">
        <w:rPr>
          <w:rFonts w:ascii="Times New Roman" w:hAnsi="Times New Roman"/>
          <w:b/>
          <w:smallCaps/>
          <w:color w:val="1F4E79" w:themeColor="accent1" w:themeShade="80"/>
          <w:spacing w:val="5"/>
          <w:sz w:val="36"/>
          <w:szCs w:val="36"/>
          <w:u w:val="double" w:color="1F4E79" w:themeColor="accent1" w:themeShade="80"/>
          <w:lang w:bidi="en-US"/>
        </w:rPr>
        <w:t>taxation</w:t>
      </w:r>
      <w:bookmarkEnd w:id="2"/>
      <w:bookmarkEnd w:id="3"/>
    </w:p>
    <w:p w:rsidR="00427DC2" w:rsidRDefault="00427DC2">
      <w:bookmarkStart w:id="4" w:name="_Toc399850311"/>
    </w:p>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Default="00427DC2"/>
    <w:p w:rsidR="00427DC2" w:rsidRPr="00427DC2" w:rsidRDefault="00427DC2">
      <w:pPr>
        <w:rPr>
          <w:rFonts w:ascii="Times New Roman" w:hAnsi="Times New Roman" w:cs="Times New Roman"/>
          <w:sz w:val="22"/>
          <w:szCs w:val="22"/>
        </w:rPr>
      </w:pPr>
    </w:p>
    <w:p w:rsidR="003E75DA" w:rsidRDefault="003E75DA">
      <w:pPr>
        <w:rPr>
          <w:rFonts w:ascii="Times New Roman" w:hAnsi="Times New Roman" w:cs="Times New Roman"/>
          <w:i/>
          <w:sz w:val="22"/>
          <w:szCs w:val="22"/>
        </w:rPr>
      </w:pPr>
      <w:r>
        <w:rPr>
          <w:rFonts w:ascii="Times New Roman" w:hAnsi="Times New Roman" w:cs="Times New Roman"/>
          <w:i/>
          <w:sz w:val="22"/>
          <w:szCs w:val="22"/>
        </w:rPr>
        <w:t xml:space="preserve">Economics and Planning Division, </w:t>
      </w:r>
      <w:r w:rsidR="00427DC2" w:rsidRPr="00427DC2">
        <w:rPr>
          <w:rFonts w:ascii="Times New Roman" w:hAnsi="Times New Roman" w:cs="Times New Roman"/>
          <w:i/>
          <w:sz w:val="22"/>
          <w:szCs w:val="22"/>
        </w:rPr>
        <w:t>Department of Agriculture, Food and the Marine</w:t>
      </w:r>
    </w:p>
    <w:p w:rsidR="003E75DA" w:rsidRDefault="003E75DA">
      <w:pPr>
        <w:rPr>
          <w:rFonts w:ascii="Times New Roman" w:hAnsi="Times New Roman" w:cs="Times New Roman"/>
          <w:i/>
          <w:sz w:val="22"/>
          <w:szCs w:val="22"/>
        </w:rPr>
      </w:pPr>
      <w:r>
        <w:rPr>
          <w:rFonts w:ascii="Times New Roman" w:hAnsi="Times New Roman" w:cs="Times New Roman"/>
          <w:i/>
          <w:sz w:val="22"/>
          <w:szCs w:val="22"/>
        </w:rPr>
        <w:t>with input from Teagasc Rural Economy</w:t>
      </w:r>
      <w:r w:rsidR="00BA0BCC">
        <w:rPr>
          <w:rFonts w:ascii="Times New Roman" w:hAnsi="Times New Roman" w:cs="Times New Roman"/>
          <w:i/>
          <w:sz w:val="22"/>
          <w:szCs w:val="22"/>
        </w:rPr>
        <w:t xml:space="preserve"> and Development </w:t>
      </w:r>
    </w:p>
    <w:p w:rsidR="003E75DA" w:rsidRDefault="003E75DA">
      <w:pPr>
        <w:rPr>
          <w:rFonts w:ascii="Times New Roman" w:hAnsi="Times New Roman" w:cs="Times New Roman"/>
          <w:i/>
          <w:sz w:val="22"/>
          <w:szCs w:val="22"/>
        </w:rPr>
      </w:pPr>
      <w:r>
        <w:rPr>
          <w:rFonts w:ascii="Times New Roman" w:hAnsi="Times New Roman" w:cs="Times New Roman"/>
          <w:i/>
          <w:sz w:val="22"/>
          <w:szCs w:val="22"/>
        </w:rPr>
        <w:t>______________</w:t>
      </w:r>
    </w:p>
    <w:p w:rsidR="00427DC2" w:rsidRPr="00427DC2" w:rsidRDefault="00BA0BCC">
      <w:pPr>
        <w:rPr>
          <w:rFonts w:ascii="Times New Roman" w:hAnsi="Times New Roman" w:cs="Times New Roman"/>
          <w:i/>
          <w:sz w:val="22"/>
          <w:szCs w:val="22"/>
        </w:rPr>
      </w:pPr>
      <w:r>
        <w:rPr>
          <w:rFonts w:ascii="Times New Roman" w:hAnsi="Times New Roman" w:cs="Times New Roman"/>
          <w:i/>
          <w:sz w:val="22"/>
          <w:szCs w:val="22"/>
        </w:rPr>
        <w:t>November</w:t>
      </w:r>
      <w:r w:rsidRPr="00427DC2">
        <w:rPr>
          <w:rFonts w:ascii="Times New Roman" w:hAnsi="Times New Roman" w:cs="Times New Roman"/>
          <w:i/>
          <w:sz w:val="22"/>
          <w:szCs w:val="22"/>
        </w:rPr>
        <w:t xml:space="preserve"> </w:t>
      </w:r>
      <w:r w:rsidR="00427DC2" w:rsidRPr="00427DC2">
        <w:rPr>
          <w:rFonts w:ascii="Times New Roman" w:hAnsi="Times New Roman" w:cs="Times New Roman"/>
          <w:i/>
          <w:sz w:val="22"/>
          <w:szCs w:val="22"/>
        </w:rPr>
        <w:t>2014</w:t>
      </w:r>
    </w:p>
    <w:p w:rsidR="00427DC2" w:rsidRDefault="00427DC2">
      <w:pPr>
        <w:rPr>
          <w:rFonts w:ascii="Times New Roman" w:hAnsi="Times New Roman" w:cs="Times New Roman"/>
          <w:sz w:val="22"/>
          <w:szCs w:val="22"/>
        </w:rPr>
      </w:pPr>
    </w:p>
    <w:p w:rsidR="00783251" w:rsidRDefault="00427DC2">
      <w:pPr>
        <w:rPr>
          <w:rFonts w:ascii="Times New Roman" w:hAnsi="Times New Roman"/>
          <w:b/>
          <w:smallCaps/>
          <w:color w:val="1F4E79" w:themeColor="accent1" w:themeShade="80"/>
          <w:spacing w:val="5"/>
          <w:sz w:val="32"/>
          <w:szCs w:val="32"/>
          <w:u w:val="double" w:color="1F4E79" w:themeColor="accent1" w:themeShade="80"/>
        </w:rPr>
      </w:pPr>
      <w:r w:rsidRPr="00427DC2">
        <w:rPr>
          <w:rFonts w:ascii="Times New Roman" w:hAnsi="Times New Roman" w:cs="Times New Roman"/>
          <w:sz w:val="22"/>
          <w:szCs w:val="22"/>
        </w:rPr>
        <w:t>Note: The views expressed in this background paper do not purport to reflect the views of the Minister or the Department of Agriculture, Food and the Marine</w:t>
      </w:r>
      <w:r w:rsidR="00783251">
        <w:br w:type="page"/>
      </w:r>
    </w:p>
    <w:p w:rsidR="00783251" w:rsidRDefault="00783251">
      <w:pPr>
        <w:rPr>
          <w:rFonts w:ascii="Times New Roman" w:hAnsi="Times New Roman"/>
          <w:b/>
          <w:smallCaps/>
          <w:color w:val="1F4E79" w:themeColor="accent1" w:themeShade="80"/>
          <w:spacing w:val="5"/>
          <w:sz w:val="32"/>
          <w:szCs w:val="32"/>
          <w:u w:val="double" w:color="1F4E79" w:themeColor="accent1" w:themeShade="80"/>
        </w:rPr>
      </w:pPr>
      <w:r>
        <w:lastRenderedPageBreak/>
        <w:br w:type="page"/>
      </w:r>
    </w:p>
    <w:p w:rsidR="00783251" w:rsidRDefault="00783251" w:rsidP="00BC3E9D">
      <w:pPr>
        <w:pStyle w:val="Heading1"/>
        <w:sectPr w:rsidR="00783251" w:rsidSect="00F548EA">
          <w:footerReference w:type="default" r:id="rId8"/>
          <w:pgSz w:w="11906" w:h="16838"/>
          <w:pgMar w:top="1440" w:right="1440" w:bottom="1440" w:left="1440" w:header="708" w:footer="708" w:gutter="0"/>
          <w:pgBorders w:offsetFrom="page">
            <w:top w:val="single" w:sz="4" w:space="24" w:color="1F4E79" w:themeColor="accent1" w:themeShade="80"/>
            <w:left w:val="single" w:sz="4" w:space="24" w:color="1F4E79" w:themeColor="accent1" w:themeShade="80"/>
            <w:bottom w:val="single" w:sz="4" w:space="24" w:color="1F4E79" w:themeColor="accent1" w:themeShade="80"/>
            <w:right w:val="single" w:sz="4" w:space="24" w:color="1F4E79" w:themeColor="accent1" w:themeShade="80"/>
          </w:pgBorders>
          <w:cols w:space="708"/>
          <w:docGrid w:linePitch="360"/>
        </w:sectPr>
      </w:pPr>
    </w:p>
    <w:p w:rsidR="001C01EA" w:rsidRPr="00974C5F" w:rsidRDefault="001C01EA" w:rsidP="00BC3E9D">
      <w:pPr>
        <w:pStyle w:val="Heading1"/>
      </w:pPr>
      <w:r w:rsidRPr="00974C5F">
        <w:lastRenderedPageBreak/>
        <w:t>FARM INCOMES</w:t>
      </w:r>
      <w:bookmarkEnd w:id="4"/>
    </w:p>
    <w:p w:rsidR="001C01EA" w:rsidRPr="001C01EA" w:rsidRDefault="001C01EA" w:rsidP="001C01EA">
      <w:pPr>
        <w:spacing w:after="0" w:line="360" w:lineRule="auto"/>
        <w:jc w:val="center"/>
        <w:rPr>
          <w:rFonts w:ascii="Times New Roman" w:hAnsi="Times New Roman" w:cs="Times New Roman"/>
          <w:b/>
          <w:color w:val="222A35" w:themeColor="text2" w:themeShade="80"/>
          <w:sz w:val="24"/>
          <w:szCs w:val="24"/>
          <w:u w:val="double" w:color="222A35" w:themeColor="text2" w:themeShade="80"/>
        </w:rPr>
      </w:pPr>
    </w:p>
    <w:p w:rsidR="00304366" w:rsidRPr="00340D8E" w:rsidRDefault="00DF7202" w:rsidP="009339E0">
      <w:pPr>
        <w:pStyle w:val="Heading2"/>
      </w:pPr>
      <w:bookmarkStart w:id="5" w:name="_Toc399850312"/>
      <w:r w:rsidRPr="00340D8E">
        <w:t>Aggregate farm income</w:t>
      </w:r>
      <w:bookmarkEnd w:id="5"/>
    </w:p>
    <w:p w:rsidR="00DF7202" w:rsidRDefault="00DF7202" w:rsidP="0030436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CSO statistics show that aggregate farm income (‘operating surplus’) has been relatively stagnant </w:t>
      </w:r>
      <w:r w:rsidR="004620F9">
        <w:rPr>
          <w:rFonts w:ascii="Times New Roman" w:hAnsi="Times New Roman" w:cs="Times New Roman"/>
          <w:sz w:val="24"/>
          <w:szCs w:val="24"/>
        </w:rPr>
        <w:t xml:space="preserve">in nominal terms </w:t>
      </w:r>
      <w:r>
        <w:rPr>
          <w:rFonts w:ascii="Times New Roman" w:hAnsi="Times New Roman" w:cs="Times New Roman"/>
          <w:sz w:val="24"/>
          <w:szCs w:val="24"/>
        </w:rPr>
        <w:t xml:space="preserve">since 2000, with a very bad year in 2009 followed by </w:t>
      </w:r>
      <w:r w:rsidR="00BB6C36">
        <w:rPr>
          <w:rFonts w:ascii="Times New Roman" w:hAnsi="Times New Roman" w:cs="Times New Roman"/>
          <w:sz w:val="24"/>
          <w:szCs w:val="24"/>
        </w:rPr>
        <w:t xml:space="preserve">a </w:t>
      </w:r>
      <w:r>
        <w:rPr>
          <w:rFonts w:ascii="Times New Roman" w:hAnsi="Times New Roman" w:cs="Times New Roman"/>
          <w:sz w:val="24"/>
          <w:szCs w:val="24"/>
        </w:rPr>
        <w:t xml:space="preserve">gradual recovery. Direct payments (‘subsidies less taxes’) </w:t>
      </w:r>
      <w:r w:rsidR="00F44999">
        <w:rPr>
          <w:rFonts w:ascii="Times New Roman" w:hAnsi="Times New Roman" w:cs="Times New Roman"/>
          <w:sz w:val="24"/>
          <w:szCs w:val="24"/>
        </w:rPr>
        <w:t xml:space="preserve">have </w:t>
      </w:r>
      <w:r>
        <w:rPr>
          <w:rFonts w:ascii="Times New Roman" w:hAnsi="Times New Roman" w:cs="Times New Roman"/>
          <w:sz w:val="24"/>
          <w:szCs w:val="24"/>
        </w:rPr>
        <w:t>generally account</w:t>
      </w:r>
      <w:r w:rsidR="00F44999">
        <w:rPr>
          <w:rFonts w:ascii="Times New Roman" w:hAnsi="Times New Roman" w:cs="Times New Roman"/>
          <w:sz w:val="24"/>
          <w:szCs w:val="24"/>
        </w:rPr>
        <w:t>ed</w:t>
      </w:r>
      <w:r>
        <w:rPr>
          <w:rFonts w:ascii="Times New Roman" w:hAnsi="Times New Roman" w:cs="Times New Roman"/>
          <w:sz w:val="24"/>
          <w:szCs w:val="24"/>
        </w:rPr>
        <w:t xml:space="preserve"> for around 70% of aggregate income. </w:t>
      </w:r>
      <w:r w:rsidR="00BB6C36">
        <w:rPr>
          <w:rFonts w:ascii="Times New Roman" w:hAnsi="Times New Roman" w:cs="Times New Roman"/>
          <w:sz w:val="24"/>
          <w:szCs w:val="24"/>
        </w:rPr>
        <w:t>The</w:t>
      </w:r>
      <w:r>
        <w:rPr>
          <w:rFonts w:ascii="Times New Roman" w:hAnsi="Times New Roman" w:cs="Times New Roman"/>
          <w:sz w:val="24"/>
          <w:szCs w:val="24"/>
        </w:rPr>
        <w:t xml:space="preserve"> dramatic increase in output value since 2009 has</w:t>
      </w:r>
      <w:r w:rsidR="00BB6C36">
        <w:rPr>
          <w:rFonts w:ascii="Times New Roman" w:hAnsi="Times New Roman" w:cs="Times New Roman"/>
          <w:sz w:val="24"/>
          <w:szCs w:val="24"/>
        </w:rPr>
        <w:t xml:space="preserve"> not translated into higher aggregate income at </w:t>
      </w:r>
      <w:r w:rsidR="00C73075">
        <w:rPr>
          <w:rFonts w:ascii="Times New Roman" w:hAnsi="Times New Roman" w:cs="Times New Roman"/>
          <w:sz w:val="24"/>
          <w:szCs w:val="24"/>
        </w:rPr>
        <w:t>farm-gate</w:t>
      </w:r>
      <w:r w:rsidR="00BB6C36">
        <w:rPr>
          <w:rFonts w:ascii="Times New Roman" w:hAnsi="Times New Roman" w:cs="Times New Roman"/>
          <w:sz w:val="24"/>
          <w:szCs w:val="24"/>
        </w:rPr>
        <w:t xml:space="preserve"> level, mainly because it has</w:t>
      </w:r>
      <w:r>
        <w:rPr>
          <w:rFonts w:ascii="Times New Roman" w:hAnsi="Times New Roman" w:cs="Times New Roman"/>
          <w:sz w:val="24"/>
          <w:szCs w:val="24"/>
        </w:rPr>
        <w:t xml:space="preserve"> almost </w:t>
      </w:r>
      <w:r w:rsidR="00BB6C36">
        <w:rPr>
          <w:rFonts w:ascii="Times New Roman" w:hAnsi="Times New Roman" w:cs="Times New Roman"/>
          <w:sz w:val="24"/>
          <w:szCs w:val="24"/>
        </w:rPr>
        <w:t xml:space="preserve">been </w:t>
      </w:r>
      <w:r>
        <w:rPr>
          <w:rFonts w:ascii="Times New Roman" w:hAnsi="Times New Roman" w:cs="Times New Roman"/>
          <w:sz w:val="24"/>
          <w:szCs w:val="24"/>
        </w:rPr>
        <w:t>matched by an increase in input costs over the same period</w:t>
      </w:r>
      <w:r w:rsidR="00427DC2">
        <w:rPr>
          <w:rStyle w:val="EndnoteReference"/>
          <w:rFonts w:ascii="Times New Roman" w:hAnsi="Times New Roman" w:cs="Times New Roman"/>
          <w:sz w:val="24"/>
          <w:szCs w:val="24"/>
        </w:rPr>
        <w:endnoteReference w:id="1"/>
      </w:r>
      <w:r w:rsidR="00427DC2">
        <w:rPr>
          <w:rFonts w:ascii="Times New Roman" w:hAnsi="Times New Roman" w:cs="Times New Roman"/>
          <w:sz w:val="24"/>
          <w:szCs w:val="24"/>
        </w:rPr>
        <w:t>.</w:t>
      </w:r>
    </w:p>
    <w:p w:rsidR="00DF7202" w:rsidRDefault="00DF7202" w:rsidP="00304366">
      <w:pPr>
        <w:spacing w:after="0" w:line="360" w:lineRule="auto"/>
        <w:rPr>
          <w:rFonts w:ascii="Times New Roman" w:hAnsi="Times New Roman" w:cs="Times New Roman"/>
          <w:sz w:val="24"/>
          <w:szCs w:val="24"/>
        </w:rPr>
      </w:pPr>
    </w:p>
    <w:p w:rsidR="00F44999" w:rsidRPr="00F44999" w:rsidRDefault="00F44999" w:rsidP="00974C5F">
      <w:pPr>
        <w:pStyle w:val="Heading3"/>
      </w:pPr>
      <w:bookmarkStart w:id="6" w:name="_Toc399850313"/>
      <w:r w:rsidRPr="00F44999">
        <w:t>Aggregate farm income and subsidies, 2000-2013</w:t>
      </w:r>
      <w:bookmarkEnd w:id="6"/>
    </w:p>
    <w:p w:rsidR="00F44999" w:rsidRDefault="00BB6C36" w:rsidP="00304366">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en-IE"/>
        </w:rPr>
        <w:drawing>
          <wp:inline distT="0" distB="0" distL="0" distR="0">
            <wp:extent cx="3635829" cy="2375413"/>
            <wp:effectExtent l="19050" t="19050" r="22225" b="254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56067" cy="2388635"/>
                    </a:xfrm>
                    <a:prstGeom prst="rect">
                      <a:avLst/>
                    </a:prstGeom>
                    <a:noFill/>
                    <a:ln>
                      <a:solidFill>
                        <a:schemeClr val="accent1"/>
                      </a:solidFill>
                    </a:ln>
                  </pic:spPr>
                </pic:pic>
              </a:graphicData>
            </a:graphic>
          </wp:inline>
        </w:drawing>
      </w:r>
    </w:p>
    <w:p w:rsidR="00F44999" w:rsidRDefault="00F44999" w:rsidP="00304366">
      <w:pPr>
        <w:spacing w:after="0" w:line="360" w:lineRule="auto"/>
        <w:rPr>
          <w:rFonts w:ascii="Times New Roman" w:hAnsi="Times New Roman" w:cs="Times New Roman"/>
          <w:b/>
          <w:i/>
          <w:sz w:val="24"/>
          <w:szCs w:val="24"/>
        </w:rPr>
      </w:pPr>
    </w:p>
    <w:p w:rsidR="00F44999" w:rsidRPr="00F44999" w:rsidRDefault="00F44999" w:rsidP="00974C5F">
      <w:pPr>
        <w:pStyle w:val="Heading3"/>
      </w:pPr>
      <w:r w:rsidRPr="00F44999">
        <w:t xml:space="preserve"> </w:t>
      </w:r>
      <w:bookmarkStart w:id="7" w:name="_Toc399850314"/>
      <w:r w:rsidRPr="00F44999">
        <w:t>Output, inputs and income, 2000 to 2013</w:t>
      </w:r>
      <w:bookmarkEnd w:id="7"/>
    </w:p>
    <w:p w:rsidR="00F44999" w:rsidRDefault="00BB6C36" w:rsidP="00304366">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en-IE"/>
        </w:rPr>
        <w:drawing>
          <wp:inline distT="0" distB="0" distL="0" distR="0">
            <wp:extent cx="3635829" cy="2377892"/>
            <wp:effectExtent l="19050" t="19050" r="22225"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39289" cy="2380155"/>
                    </a:xfrm>
                    <a:prstGeom prst="rect">
                      <a:avLst/>
                    </a:prstGeom>
                    <a:noFill/>
                    <a:ln>
                      <a:solidFill>
                        <a:schemeClr val="accent1"/>
                      </a:solidFill>
                    </a:ln>
                  </pic:spPr>
                </pic:pic>
              </a:graphicData>
            </a:graphic>
          </wp:inline>
        </w:drawing>
      </w:r>
    </w:p>
    <w:p w:rsidR="00D37CDC" w:rsidRDefault="00D37CDC" w:rsidP="00304366">
      <w:pPr>
        <w:spacing w:after="0" w:line="360" w:lineRule="auto"/>
        <w:rPr>
          <w:rFonts w:ascii="Times New Roman" w:hAnsi="Times New Roman" w:cs="Times New Roman"/>
          <w:sz w:val="24"/>
          <w:szCs w:val="24"/>
        </w:rPr>
      </w:pPr>
    </w:p>
    <w:p w:rsidR="00D37CDC" w:rsidRDefault="00D37CDC" w:rsidP="00304366">
      <w:pPr>
        <w:spacing w:after="0" w:line="360" w:lineRule="auto"/>
        <w:rPr>
          <w:rFonts w:ascii="Times New Roman" w:hAnsi="Times New Roman" w:cs="Times New Roman"/>
          <w:sz w:val="24"/>
          <w:szCs w:val="24"/>
        </w:rPr>
      </w:pPr>
    </w:p>
    <w:p w:rsidR="00BB6C36" w:rsidRPr="00340D8E" w:rsidRDefault="00BB6C36" w:rsidP="009339E0">
      <w:pPr>
        <w:pStyle w:val="Heading2"/>
      </w:pPr>
      <w:bookmarkStart w:id="8" w:name="_Toc399850315"/>
      <w:r w:rsidRPr="00340D8E">
        <w:t>Average farm income</w:t>
      </w:r>
      <w:bookmarkEnd w:id="8"/>
    </w:p>
    <w:p w:rsidR="00340D8E" w:rsidRPr="00340D8E" w:rsidRDefault="00340D8E" w:rsidP="00340D8E">
      <w:pPr>
        <w:spacing w:after="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Teagasc’s annual National Farm Survey</w:t>
      </w:r>
      <w:r w:rsidR="00F84BA9">
        <w:rPr>
          <w:rFonts w:ascii="Times New Roman" w:eastAsia="Calibri" w:hAnsi="Times New Roman" w:cs="Times New Roman"/>
          <w:sz w:val="24"/>
          <w:szCs w:val="24"/>
        </w:rPr>
        <w:t xml:space="preserve"> (NFS)</w:t>
      </w:r>
      <w:r w:rsidR="00427DC2">
        <w:rPr>
          <w:rStyle w:val="EndnoteReference"/>
          <w:rFonts w:ascii="Times New Roman" w:eastAsia="Calibri" w:hAnsi="Times New Roman" w:cs="Times New Roman"/>
          <w:sz w:val="24"/>
          <w:szCs w:val="24"/>
        </w:rPr>
        <w:endnoteReference w:id="2"/>
      </w:r>
      <w:r w:rsidR="00427DC2" w:rsidRPr="00340D8E">
        <w:rPr>
          <w:rFonts w:ascii="Times New Roman" w:eastAsia="Calibri" w:hAnsi="Times New Roman" w:cs="Times New Roman"/>
          <w:sz w:val="24"/>
          <w:szCs w:val="24"/>
        </w:rPr>
        <w:t xml:space="preserve"> represents the 80,000 farms with a </w:t>
      </w:r>
      <w:r w:rsidR="00427DC2">
        <w:rPr>
          <w:rFonts w:ascii="Times New Roman" w:eastAsia="Calibri" w:hAnsi="Times New Roman" w:cs="Times New Roman"/>
          <w:sz w:val="24"/>
          <w:szCs w:val="24"/>
        </w:rPr>
        <w:t xml:space="preserve">standard output </w:t>
      </w:r>
      <w:r w:rsidR="00503CDA">
        <w:rPr>
          <w:rFonts w:ascii="Times New Roman" w:eastAsia="Calibri" w:hAnsi="Times New Roman" w:cs="Times New Roman"/>
          <w:sz w:val="24"/>
          <w:szCs w:val="24"/>
        </w:rPr>
        <w:t xml:space="preserve">(farm-gate sales) </w:t>
      </w:r>
      <w:r w:rsidR="00427DC2">
        <w:rPr>
          <w:rFonts w:ascii="Times New Roman" w:eastAsia="Calibri" w:hAnsi="Times New Roman" w:cs="Times New Roman"/>
          <w:sz w:val="24"/>
          <w:szCs w:val="24"/>
        </w:rPr>
        <w:t>of over €8,000</w:t>
      </w:r>
      <w:r w:rsidR="00427DC2">
        <w:rPr>
          <w:rStyle w:val="EndnoteReference"/>
          <w:rFonts w:ascii="Times New Roman" w:eastAsia="Calibri" w:hAnsi="Times New Roman" w:cs="Times New Roman"/>
          <w:sz w:val="24"/>
          <w:szCs w:val="24"/>
        </w:rPr>
        <w:endnoteReference w:id="3"/>
      </w:r>
      <w:r w:rsidR="00427DC2">
        <w:rPr>
          <w:rFonts w:ascii="Times New Roman" w:eastAsia="Calibri" w:hAnsi="Times New Roman" w:cs="Times New Roman"/>
          <w:sz w:val="24"/>
          <w:szCs w:val="24"/>
        </w:rPr>
        <w:t xml:space="preserve"> a year. </w:t>
      </w:r>
      <w:r w:rsidR="00427DC2" w:rsidRPr="00340D8E">
        <w:rPr>
          <w:rFonts w:ascii="Times New Roman" w:eastAsia="Calibri" w:hAnsi="Times New Roman" w:cs="Times New Roman"/>
          <w:sz w:val="24"/>
          <w:szCs w:val="24"/>
        </w:rPr>
        <w:t>Average family farm income</w:t>
      </w:r>
      <w:r w:rsidR="00427DC2">
        <w:rPr>
          <w:rStyle w:val="EndnoteReference"/>
          <w:rFonts w:ascii="Times New Roman" w:eastAsia="Calibri" w:hAnsi="Times New Roman" w:cs="Times New Roman"/>
          <w:sz w:val="24"/>
          <w:szCs w:val="24"/>
        </w:rPr>
        <w:endnoteReference w:id="4"/>
      </w:r>
      <w:r w:rsidR="00427DC2" w:rsidRPr="00340D8E">
        <w:rPr>
          <w:rFonts w:ascii="Times New Roman" w:eastAsia="Calibri" w:hAnsi="Times New Roman" w:cs="Times New Roman"/>
          <w:sz w:val="24"/>
          <w:szCs w:val="24"/>
        </w:rPr>
        <w:t xml:space="preserve"> </w:t>
      </w:r>
      <w:r w:rsidR="00427DC2">
        <w:rPr>
          <w:rFonts w:ascii="Times New Roman" w:eastAsia="Calibri" w:hAnsi="Times New Roman" w:cs="Times New Roman"/>
          <w:sz w:val="24"/>
          <w:szCs w:val="24"/>
        </w:rPr>
        <w:t xml:space="preserve">on these farms </w:t>
      </w:r>
      <w:r w:rsidR="00427DC2" w:rsidRPr="00340D8E">
        <w:rPr>
          <w:rFonts w:ascii="Times New Roman" w:eastAsia="Calibri" w:hAnsi="Times New Roman" w:cs="Times New Roman"/>
          <w:sz w:val="24"/>
          <w:szCs w:val="24"/>
        </w:rPr>
        <w:t xml:space="preserve">in </w:t>
      </w:r>
      <w:r w:rsidR="00427DC2">
        <w:rPr>
          <w:rFonts w:ascii="Times New Roman" w:eastAsia="Calibri" w:hAnsi="Times New Roman" w:cs="Times New Roman"/>
          <w:sz w:val="24"/>
          <w:szCs w:val="24"/>
        </w:rPr>
        <w:t xml:space="preserve">2012 and </w:t>
      </w:r>
      <w:r w:rsidR="00427DC2" w:rsidRPr="00340D8E">
        <w:rPr>
          <w:rFonts w:ascii="Times New Roman" w:eastAsia="Calibri" w:hAnsi="Times New Roman" w:cs="Times New Roman"/>
          <w:sz w:val="24"/>
          <w:szCs w:val="24"/>
        </w:rPr>
        <w:t xml:space="preserve">2013 was </w:t>
      </w:r>
      <w:r w:rsidR="00427DC2">
        <w:rPr>
          <w:rFonts w:ascii="Times New Roman" w:eastAsia="Calibri" w:hAnsi="Times New Roman" w:cs="Times New Roman"/>
          <w:sz w:val="24"/>
          <w:szCs w:val="24"/>
        </w:rPr>
        <w:t>around €26,000, down slightly on 2011</w:t>
      </w:r>
      <w:r w:rsidR="00503CDA">
        <w:rPr>
          <w:rFonts w:ascii="Times New Roman" w:eastAsia="Calibri" w:hAnsi="Times New Roman" w:cs="Times New Roman"/>
          <w:sz w:val="24"/>
          <w:szCs w:val="24"/>
        </w:rPr>
        <w:t>.</w:t>
      </w:r>
      <w:r w:rsidR="00427DC2">
        <w:rPr>
          <w:rStyle w:val="EndnoteReference"/>
          <w:rFonts w:ascii="Times New Roman" w:eastAsia="Calibri" w:hAnsi="Times New Roman" w:cs="Times New Roman"/>
          <w:sz w:val="24"/>
          <w:szCs w:val="24"/>
        </w:rPr>
        <w:endnoteReference w:id="5"/>
      </w:r>
      <w:r w:rsidRPr="00340D8E">
        <w:rPr>
          <w:rFonts w:ascii="Times New Roman" w:eastAsia="Calibri" w:hAnsi="Times New Roman" w:cs="Times New Roman"/>
          <w:sz w:val="24"/>
          <w:szCs w:val="24"/>
        </w:rPr>
        <w:t xml:space="preserve"> However, this conceals dramatic differences between farm types.</w:t>
      </w:r>
    </w:p>
    <w:p w:rsidR="00340D8E" w:rsidRPr="00340D8E" w:rsidRDefault="00340D8E" w:rsidP="00340D8E">
      <w:pPr>
        <w:spacing w:after="0" w:line="360" w:lineRule="auto"/>
        <w:rPr>
          <w:rFonts w:ascii="Times New Roman" w:eastAsia="Calibri" w:hAnsi="Times New Roman" w:cs="Times New Roman"/>
          <w:sz w:val="24"/>
          <w:szCs w:val="24"/>
        </w:rPr>
      </w:pPr>
    </w:p>
    <w:p w:rsidR="00340D8E" w:rsidRPr="009339E0" w:rsidRDefault="00340D8E" w:rsidP="009339E0">
      <w:pPr>
        <w:pStyle w:val="Heading2"/>
        <w:numPr>
          <w:ilvl w:val="0"/>
          <w:numId w:val="0"/>
        </w:numPr>
        <w:rPr>
          <w:rFonts w:eastAsia="Calibri" w:cs="Times New Roman"/>
          <w:b w:val="0"/>
          <w:caps w:val="0"/>
          <w:color w:val="auto"/>
          <w:spacing w:val="0"/>
          <w:sz w:val="24"/>
          <w:szCs w:val="24"/>
        </w:rPr>
      </w:pPr>
      <w:r w:rsidRPr="009339E0">
        <w:rPr>
          <w:rFonts w:eastAsia="Calibri" w:cs="Times New Roman"/>
          <w:b w:val="0"/>
          <w:caps w:val="0"/>
          <w:color w:val="auto"/>
          <w:spacing w:val="0"/>
          <w:sz w:val="24"/>
          <w:szCs w:val="24"/>
        </w:rPr>
        <w:t xml:space="preserve">Figure 3 below illustrates the major gap between the </w:t>
      </w:r>
      <w:r w:rsidR="001B5B17" w:rsidRPr="009339E0">
        <w:rPr>
          <w:rFonts w:eastAsia="Calibri" w:cs="Times New Roman"/>
          <w:b w:val="0"/>
          <w:caps w:val="0"/>
          <w:color w:val="auto"/>
          <w:spacing w:val="0"/>
          <w:sz w:val="24"/>
          <w:szCs w:val="24"/>
        </w:rPr>
        <w:t xml:space="preserve">relatively </w:t>
      </w:r>
      <w:r w:rsidRPr="009339E0">
        <w:rPr>
          <w:rFonts w:eastAsia="Calibri" w:cs="Times New Roman"/>
          <w:b w:val="0"/>
          <w:caps w:val="0"/>
          <w:color w:val="auto"/>
          <w:spacing w:val="0"/>
          <w:sz w:val="24"/>
          <w:szCs w:val="24"/>
        </w:rPr>
        <w:t xml:space="preserve">good </w:t>
      </w:r>
      <w:r w:rsidR="004620F9" w:rsidRPr="009339E0">
        <w:rPr>
          <w:rFonts w:eastAsia="Calibri" w:cs="Times New Roman"/>
          <w:b w:val="0"/>
          <w:caps w:val="0"/>
          <w:color w:val="auto"/>
          <w:spacing w:val="0"/>
          <w:sz w:val="24"/>
          <w:szCs w:val="24"/>
        </w:rPr>
        <w:t xml:space="preserve">average </w:t>
      </w:r>
      <w:r w:rsidRPr="009339E0">
        <w:rPr>
          <w:rFonts w:eastAsia="Calibri" w:cs="Times New Roman"/>
          <w:b w:val="0"/>
          <w:caps w:val="0"/>
          <w:color w:val="auto"/>
          <w:spacing w:val="0"/>
          <w:sz w:val="24"/>
          <w:szCs w:val="24"/>
        </w:rPr>
        <w:t xml:space="preserve">incomes on dairy farms and the very low </w:t>
      </w:r>
      <w:r w:rsidR="004620F9" w:rsidRPr="009339E0">
        <w:rPr>
          <w:rFonts w:eastAsia="Calibri" w:cs="Times New Roman"/>
          <w:b w:val="0"/>
          <w:caps w:val="0"/>
          <w:color w:val="auto"/>
          <w:spacing w:val="0"/>
          <w:sz w:val="24"/>
          <w:szCs w:val="24"/>
        </w:rPr>
        <w:t xml:space="preserve">average </w:t>
      </w:r>
      <w:r w:rsidRPr="009339E0">
        <w:rPr>
          <w:rFonts w:eastAsia="Calibri" w:cs="Times New Roman"/>
          <w:b w:val="0"/>
          <w:caps w:val="0"/>
          <w:color w:val="auto"/>
          <w:spacing w:val="0"/>
          <w:sz w:val="24"/>
          <w:szCs w:val="24"/>
        </w:rPr>
        <w:t>incomes on drystock</w:t>
      </w:r>
      <w:r w:rsidR="0018204F" w:rsidRPr="009339E0">
        <w:rPr>
          <w:rFonts w:eastAsia="Calibri" w:cs="Times New Roman"/>
          <w:b w:val="0"/>
          <w:caps w:val="0"/>
          <w:color w:val="auto"/>
          <w:spacing w:val="0"/>
          <w:sz w:val="24"/>
          <w:szCs w:val="24"/>
        </w:rPr>
        <w:t xml:space="preserve"> farms – cattle rearing, cattle finishing (cattle other) and sheep farms -</w:t>
      </w:r>
      <w:r w:rsidRPr="009339E0">
        <w:rPr>
          <w:rFonts w:eastAsia="Calibri" w:cs="Times New Roman"/>
          <w:b w:val="0"/>
          <w:caps w:val="0"/>
          <w:color w:val="auto"/>
          <w:spacing w:val="0"/>
          <w:sz w:val="24"/>
          <w:szCs w:val="24"/>
        </w:rPr>
        <w:t xml:space="preserve"> with tillage farms (small in number) in between.  The fact that the NFS only represents the 80,000 ‘most commercial’ farms makes this gap even more striking. The drystock sector is characterised by very low profitability and smaller farm holdings. </w:t>
      </w:r>
    </w:p>
    <w:p w:rsidR="00340D8E" w:rsidRPr="00340D8E" w:rsidRDefault="00340D8E" w:rsidP="00340D8E">
      <w:pPr>
        <w:spacing w:after="0" w:line="360" w:lineRule="auto"/>
        <w:rPr>
          <w:rFonts w:ascii="Times New Roman" w:eastAsia="Calibri" w:hAnsi="Times New Roman" w:cs="Times New Roman"/>
          <w:sz w:val="24"/>
          <w:szCs w:val="24"/>
        </w:rPr>
      </w:pPr>
    </w:p>
    <w:p w:rsidR="00340D8E" w:rsidRPr="00340D8E" w:rsidRDefault="00340D8E" w:rsidP="00974C5F">
      <w:pPr>
        <w:pStyle w:val="Heading3"/>
        <w:rPr>
          <w:rFonts w:eastAsia="Calibri"/>
        </w:rPr>
      </w:pPr>
      <w:r w:rsidRPr="00340D8E">
        <w:rPr>
          <w:rFonts w:eastAsia="Calibri"/>
        </w:rPr>
        <w:t xml:space="preserve"> </w:t>
      </w:r>
      <w:bookmarkStart w:id="9" w:name="_Toc399850316"/>
      <w:r w:rsidRPr="00340D8E">
        <w:rPr>
          <w:rFonts w:eastAsia="Calibri"/>
        </w:rPr>
        <w:t>Family farm income by system 2011 to 2013</w:t>
      </w:r>
      <w:bookmarkEnd w:id="9"/>
    </w:p>
    <w:p w:rsidR="00340D8E" w:rsidRPr="00340D8E" w:rsidRDefault="00340D8E" w:rsidP="00340D8E">
      <w:pPr>
        <w:spacing w:after="0" w:line="360" w:lineRule="auto"/>
        <w:rPr>
          <w:rFonts w:ascii="Times New Roman" w:eastAsia="Calibri" w:hAnsi="Times New Roman" w:cs="Times New Roman"/>
          <w:sz w:val="24"/>
          <w:szCs w:val="24"/>
        </w:rPr>
      </w:pPr>
      <w:r w:rsidRPr="00340D8E">
        <w:rPr>
          <w:rFonts w:ascii="Times New Roman" w:eastAsia="Calibri" w:hAnsi="Times New Roman" w:cs="Times New Roman"/>
          <w:noProof/>
          <w:sz w:val="24"/>
          <w:szCs w:val="24"/>
          <w:lang w:eastAsia="en-IE"/>
        </w:rPr>
        <w:drawing>
          <wp:inline distT="0" distB="0" distL="0" distR="0">
            <wp:extent cx="5542584" cy="3624943"/>
            <wp:effectExtent l="19050" t="19050" r="20320" b="139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7104" cy="3627899"/>
                    </a:xfrm>
                    <a:prstGeom prst="rect">
                      <a:avLst/>
                    </a:prstGeom>
                    <a:noFill/>
                    <a:ln>
                      <a:solidFill>
                        <a:srgbClr val="5B9BD5"/>
                      </a:solidFill>
                    </a:ln>
                  </pic:spPr>
                </pic:pic>
              </a:graphicData>
            </a:graphic>
          </wp:inline>
        </w:drawing>
      </w:r>
    </w:p>
    <w:p w:rsidR="00340D8E" w:rsidRPr="00340D8E" w:rsidRDefault="00340D8E" w:rsidP="00340D8E">
      <w:pPr>
        <w:spacing w:after="0" w:line="360" w:lineRule="auto"/>
        <w:rPr>
          <w:rFonts w:ascii="Times New Roman" w:eastAsia="Calibri" w:hAnsi="Times New Roman" w:cs="Times New Roman"/>
          <w:sz w:val="24"/>
          <w:szCs w:val="24"/>
        </w:rPr>
      </w:pPr>
    </w:p>
    <w:p w:rsidR="001C01EA" w:rsidRPr="001C01EA" w:rsidRDefault="00340D8E" w:rsidP="001C01EA">
      <w:pPr>
        <w:spacing w:after="0" w:line="360" w:lineRule="auto"/>
        <w:contextualSpacing/>
        <w:rPr>
          <w:rFonts w:ascii="Times New Roman" w:eastAsia="Calibri" w:hAnsi="Times New Roman" w:cs="Times New Roman"/>
          <w:sz w:val="24"/>
          <w:szCs w:val="24"/>
        </w:rPr>
      </w:pPr>
      <w:r w:rsidRPr="00340D8E">
        <w:rPr>
          <w:rFonts w:ascii="Times New Roman" w:eastAsia="Calibri" w:hAnsi="Times New Roman" w:cs="Times New Roman"/>
          <w:sz w:val="24"/>
          <w:szCs w:val="24"/>
        </w:rPr>
        <w:t>It should be borne in mind that almost all dairy farms are classified by Teagasc as full-time farms in terms of the labour input required</w:t>
      </w:r>
      <w:r w:rsidR="00427DC2" w:rsidRPr="00340D8E">
        <w:rPr>
          <w:rFonts w:ascii="Times New Roman" w:eastAsia="Calibri" w:hAnsi="Times New Roman" w:cs="Times New Roman"/>
          <w:sz w:val="24"/>
          <w:szCs w:val="24"/>
          <w:vertAlign w:val="superscript"/>
        </w:rPr>
        <w:endnoteReference w:id="6"/>
      </w:r>
      <w:r w:rsidR="00427DC2">
        <w:rPr>
          <w:rFonts w:ascii="Times New Roman" w:eastAsia="Calibri" w:hAnsi="Times New Roman" w:cs="Times New Roman"/>
          <w:sz w:val="24"/>
          <w:szCs w:val="24"/>
        </w:rPr>
        <w:t>.</w:t>
      </w:r>
      <w:r w:rsidRPr="00340D8E">
        <w:rPr>
          <w:rFonts w:ascii="Times New Roman" w:eastAsia="Calibri" w:hAnsi="Times New Roman" w:cs="Times New Roman"/>
          <w:sz w:val="24"/>
          <w:szCs w:val="24"/>
        </w:rPr>
        <w:t xml:space="preserve"> Most cattle farms and the majority of sheep farms are classified as part-time in terms of labour input requirements, even though in many </w:t>
      </w:r>
      <w:r w:rsidRPr="00340D8E">
        <w:rPr>
          <w:rFonts w:ascii="Times New Roman" w:eastAsia="Calibri" w:hAnsi="Times New Roman" w:cs="Times New Roman"/>
          <w:sz w:val="24"/>
          <w:szCs w:val="24"/>
        </w:rPr>
        <w:lastRenderedPageBreak/>
        <w:t xml:space="preserve">cases the farmers </w:t>
      </w:r>
      <w:r w:rsidR="001B5B17">
        <w:rPr>
          <w:rFonts w:ascii="Times New Roman" w:eastAsia="Calibri" w:hAnsi="Times New Roman" w:cs="Times New Roman"/>
          <w:sz w:val="24"/>
          <w:szCs w:val="24"/>
        </w:rPr>
        <w:t>do not</w:t>
      </w:r>
      <w:r w:rsidRPr="00340D8E">
        <w:rPr>
          <w:rFonts w:ascii="Times New Roman" w:eastAsia="Calibri" w:hAnsi="Times New Roman" w:cs="Times New Roman"/>
          <w:sz w:val="24"/>
          <w:szCs w:val="24"/>
        </w:rPr>
        <w:t xml:space="preserve"> have an off-farm job, often </w:t>
      </w:r>
      <w:r w:rsidR="004061C3">
        <w:rPr>
          <w:rFonts w:ascii="Times New Roman" w:eastAsia="Calibri" w:hAnsi="Times New Roman" w:cs="Times New Roman"/>
          <w:sz w:val="24"/>
          <w:szCs w:val="24"/>
        </w:rPr>
        <w:t xml:space="preserve">because they are elderly (see also section </w:t>
      </w:r>
      <w:r w:rsidR="00B579FC">
        <w:rPr>
          <w:rFonts w:ascii="Times New Roman" w:eastAsia="Calibri" w:hAnsi="Times New Roman" w:cs="Times New Roman"/>
          <w:sz w:val="24"/>
          <w:szCs w:val="24"/>
        </w:rPr>
        <w:t>9</w:t>
      </w:r>
      <w:r w:rsidR="004061C3">
        <w:rPr>
          <w:rFonts w:ascii="Times New Roman" w:eastAsia="Calibri" w:hAnsi="Times New Roman" w:cs="Times New Roman"/>
          <w:sz w:val="24"/>
          <w:szCs w:val="24"/>
        </w:rPr>
        <w:t xml:space="preserve"> below on </w:t>
      </w:r>
      <w:r w:rsidR="00B579FC">
        <w:rPr>
          <w:rFonts w:ascii="Times New Roman" w:eastAsia="Calibri" w:hAnsi="Times New Roman" w:cs="Times New Roman"/>
          <w:sz w:val="24"/>
          <w:szCs w:val="24"/>
        </w:rPr>
        <w:t>labour input requirement</w:t>
      </w:r>
      <w:r w:rsidR="004061C3">
        <w:rPr>
          <w:rFonts w:ascii="Times New Roman" w:eastAsia="Calibri" w:hAnsi="Times New Roman" w:cs="Times New Roman"/>
          <w:sz w:val="24"/>
          <w:szCs w:val="24"/>
        </w:rPr>
        <w:t>).</w:t>
      </w:r>
      <w:r w:rsidR="001C01EA">
        <w:rPr>
          <w:rFonts w:ascii="Times New Roman" w:eastAsia="Calibri" w:hAnsi="Times New Roman" w:cs="Times New Roman"/>
          <w:sz w:val="24"/>
          <w:szCs w:val="24"/>
        </w:rPr>
        <w:t xml:space="preserve">  </w:t>
      </w:r>
      <w:r w:rsidR="001C01EA" w:rsidRPr="001C01EA">
        <w:rPr>
          <w:rFonts w:ascii="Times New Roman" w:eastAsia="Calibri" w:hAnsi="Times New Roman" w:cs="Times New Roman"/>
          <w:sz w:val="24"/>
          <w:szCs w:val="24"/>
        </w:rPr>
        <w:t>Cattle farms are also smaller</w:t>
      </w:r>
      <w:r w:rsidR="00B53659">
        <w:rPr>
          <w:rFonts w:ascii="Times New Roman" w:eastAsia="Calibri" w:hAnsi="Times New Roman" w:cs="Times New Roman"/>
          <w:sz w:val="24"/>
          <w:szCs w:val="24"/>
        </w:rPr>
        <w:t xml:space="preserve"> than dairy farms</w:t>
      </w:r>
      <w:r w:rsidR="001C01EA" w:rsidRPr="001C01EA">
        <w:rPr>
          <w:rFonts w:ascii="Times New Roman" w:eastAsia="Calibri" w:hAnsi="Times New Roman" w:cs="Times New Roman"/>
          <w:sz w:val="24"/>
          <w:szCs w:val="24"/>
        </w:rPr>
        <w:t>, with average UAA (Utilisable Agricultural Area) of around 40ha compared to 55ha for dairy farms.</w:t>
      </w:r>
    </w:p>
    <w:p w:rsidR="00340D8E" w:rsidRDefault="00340D8E" w:rsidP="00340D8E">
      <w:pPr>
        <w:spacing w:after="0" w:line="360" w:lineRule="auto"/>
        <w:rPr>
          <w:rFonts w:ascii="Times New Roman" w:eastAsia="Calibri" w:hAnsi="Times New Roman" w:cs="Times New Roman"/>
          <w:sz w:val="24"/>
          <w:szCs w:val="24"/>
        </w:rPr>
      </w:pPr>
    </w:p>
    <w:p w:rsidR="004061C3" w:rsidRPr="001B5B17" w:rsidRDefault="004061C3" w:rsidP="004061C3">
      <w:pPr>
        <w:spacing w:after="0" w:line="360" w:lineRule="auto"/>
        <w:contextualSpacing/>
        <w:rPr>
          <w:rFonts w:ascii="Times New Roman" w:eastAsia="Calibri" w:hAnsi="Times New Roman" w:cs="Times New Roman"/>
          <w:sz w:val="24"/>
          <w:szCs w:val="24"/>
        </w:rPr>
      </w:pPr>
      <w:r w:rsidRPr="001B5B17">
        <w:rPr>
          <w:rFonts w:ascii="Times New Roman" w:eastAsia="Calibri" w:hAnsi="Times New Roman" w:cs="Times New Roman"/>
          <w:sz w:val="24"/>
          <w:szCs w:val="24"/>
        </w:rPr>
        <w:t xml:space="preserve">Most </w:t>
      </w:r>
      <w:r w:rsidRPr="004061C3">
        <w:rPr>
          <w:rFonts w:ascii="Times New Roman" w:eastAsia="Calibri" w:hAnsi="Times New Roman" w:cs="Times New Roman"/>
          <w:sz w:val="24"/>
          <w:szCs w:val="24"/>
        </w:rPr>
        <w:t xml:space="preserve">drystock </w:t>
      </w:r>
      <w:r w:rsidRPr="001B5B17">
        <w:rPr>
          <w:rFonts w:ascii="Times New Roman" w:eastAsia="Calibri" w:hAnsi="Times New Roman" w:cs="Times New Roman"/>
          <w:sz w:val="24"/>
          <w:szCs w:val="24"/>
        </w:rPr>
        <w:t xml:space="preserve">farms have a negative market return (sales minus direct and overhead costs), and this has been the case for many years. However, their family farm income is positive thanks to a significant level of direct payments. </w:t>
      </w:r>
      <w:r w:rsidRPr="004061C3">
        <w:rPr>
          <w:rFonts w:ascii="Times New Roman" w:eastAsia="Calibri" w:hAnsi="Times New Roman" w:cs="Times New Roman"/>
          <w:sz w:val="24"/>
          <w:szCs w:val="24"/>
        </w:rPr>
        <w:t xml:space="preserve">Thus </w:t>
      </w:r>
      <w:r w:rsidRPr="001B5B17">
        <w:rPr>
          <w:rFonts w:ascii="Times New Roman" w:eastAsia="Calibri" w:hAnsi="Times New Roman" w:cs="Times New Roman"/>
          <w:sz w:val="24"/>
          <w:szCs w:val="24"/>
        </w:rPr>
        <w:t xml:space="preserve">direct payments </w:t>
      </w:r>
      <w:r w:rsidR="00B53659">
        <w:rPr>
          <w:rFonts w:ascii="Times New Roman" w:eastAsia="Calibri" w:hAnsi="Times New Roman" w:cs="Times New Roman"/>
          <w:sz w:val="24"/>
          <w:szCs w:val="24"/>
        </w:rPr>
        <w:t xml:space="preserve">often </w:t>
      </w:r>
      <w:r w:rsidRPr="001B5B17">
        <w:rPr>
          <w:rFonts w:ascii="Times New Roman" w:eastAsia="Calibri" w:hAnsi="Times New Roman" w:cs="Times New Roman"/>
          <w:sz w:val="24"/>
          <w:szCs w:val="24"/>
        </w:rPr>
        <w:t xml:space="preserve">account for </w:t>
      </w:r>
      <w:r w:rsidRPr="004061C3">
        <w:rPr>
          <w:rFonts w:ascii="Times New Roman" w:eastAsia="Calibri" w:hAnsi="Times New Roman" w:cs="Times New Roman"/>
          <w:sz w:val="24"/>
          <w:szCs w:val="24"/>
        </w:rPr>
        <w:t>well over</w:t>
      </w:r>
      <w:r w:rsidRPr="001B5B17">
        <w:rPr>
          <w:rFonts w:ascii="Times New Roman" w:eastAsia="Calibri" w:hAnsi="Times New Roman" w:cs="Times New Roman"/>
          <w:sz w:val="24"/>
          <w:szCs w:val="24"/>
        </w:rPr>
        <w:t xml:space="preserve"> 100% of family farm income </w:t>
      </w:r>
      <w:r w:rsidRPr="004061C3">
        <w:rPr>
          <w:rFonts w:ascii="Times New Roman" w:eastAsia="Calibri" w:hAnsi="Times New Roman" w:cs="Times New Roman"/>
          <w:sz w:val="24"/>
          <w:szCs w:val="24"/>
        </w:rPr>
        <w:t xml:space="preserve">on these farms.  </w:t>
      </w:r>
      <w:r w:rsidRPr="00340D8E">
        <w:rPr>
          <w:rFonts w:ascii="Times New Roman" w:eastAsia="Calibri" w:hAnsi="Times New Roman" w:cs="Times New Roman"/>
          <w:sz w:val="24"/>
          <w:szCs w:val="24"/>
        </w:rPr>
        <w:t>By contrast, direct payments account for only one-third of income on dairy fa</w:t>
      </w:r>
      <w:r>
        <w:rPr>
          <w:rFonts w:ascii="Times New Roman" w:eastAsia="Calibri" w:hAnsi="Times New Roman" w:cs="Times New Roman"/>
          <w:sz w:val="24"/>
          <w:szCs w:val="24"/>
        </w:rPr>
        <w:t>rms; and 87% of income on tillage farms.</w:t>
      </w:r>
    </w:p>
    <w:p w:rsidR="004061C3" w:rsidRPr="00340D8E" w:rsidRDefault="004061C3" w:rsidP="004061C3">
      <w:pPr>
        <w:ind w:left="360"/>
        <w:contextualSpacing/>
        <w:rPr>
          <w:rFonts w:ascii="Times New Roman" w:eastAsia="Calibri" w:hAnsi="Times New Roman" w:cs="Times New Roman"/>
          <w:sz w:val="24"/>
          <w:szCs w:val="24"/>
        </w:rPr>
      </w:pPr>
    </w:p>
    <w:p w:rsidR="004061C3" w:rsidRPr="00340D8E" w:rsidRDefault="004061C3" w:rsidP="00974C5F">
      <w:pPr>
        <w:pStyle w:val="Heading3"/>
        <w:rPr>
          <w:rFonts w:eastAsia="Calibri"/>
        </w:rPr>
      </w:pPr>
      <w:r w:rsidRPr="00340D8E">
        <w:rPr>
          <w:rFonts w:eastAsia="Calibri"/>
        </w:rPr>
        <w:t xml:space="preserve"> </w:t>
      </w:r>
      <w:bookmarkStart w:id="10" w:name="_Toc399850317"/>
      <w:r w:rsidRPr="00340D8E">
        <w:rPr>
          <w:rFonts w:eastAsia="Calibri"/>
        </w:rPr>
        <w:t>Direct payments as % Family Farm Income</w:t>
      </w:r>
      <w:r>
        <w:rPr>
          <w:rFonts w:eastAsia="Calibri"/>
        </w:rPr>
        <w:t>, NFS 2013</w:t>
      </w:r>
      <w:bookmarkEnd w:id="10"/>
    </w:p>
    <w:tbl>
      <w:tblPr>
        <w:tblW w:w="8571" w:type="dxa"/>
        <w:tblInd w:w="-34" w:type="dxa"/>
        <w:tblLayout w:type="fixed"/>
        <w:tblLook w:val="04A0"/>
      </w:tblPr>
      <w:tblGrid>
        <w:gridCol w:w="2269"/>
        <w:gridCol w:w="1134"/>
        <w:gridCol w:w="1134"/>
        <w:gridCol w:w="992"/>
        <w:gridCol w:w="992"/>
        <w:gridCol w:w="992"/>
        <w:gridCol w:w="1058"/>
      </w:tblGrid>
      <w:tr w:rsidR="004061C3" w:rsidRPr="00340D8E" w:rsidTr="00503CDA">
        <w:trPr>
          <w:trHeight w:val="552"/>
        </w:trPr>
        <w:tc>
          <w:tcPr>
            <w:tcW w:w="2269" w:type="dxa"/>
            <w:tcBorders>
              <w:top w:val="single" w:sz="4" w:space="0" w:color="auto"/>
              <w:left w:val="single" w:sz="4" w:space="0" w:color="auto"/>
              <w:bottom w:val="single" w:sz="4" w:space="0" w:color="auto"/>
              <w:right w:val="nil"/>
            </w:tcBorders>
            <w:shd w:val="clear" w:color="auto" w:fill="auto"/>
            <w:noWrap/>
            <w:vAlign w:val="bottom"/>
            <w:hideMark/>
          </w:tcPr>
          <w:p w:rsidR="004061C3" w:rsidRPr="00340D8E" w:rsidRDefault="004061C3" w:rsidP="00EB4A2C">
            <w:pPr>
              <w:spacing w:after="0" w:line="240" w:lineRule="auto"/>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Dairying</w:t>
            </w:r>
          </w:p>
        </w:tc>
        <w:tc>
          <w:tcPr>
            <w:tcW w:w="1134" w:type="dxa"/>
            <w:tcBorders>
              <w:top w:val="single" w:sz="4" w:space="0" w:color="auto"/>
              <w:left w:val="nil"/>
              <w:bottom w:val="single" w:sz="4" w:space="0" w:color="auto"/>
              <w:right w:val="nil"/>
            </w:tcBorders>
            <w:shd w:val="clear" w:color="000000" w:fill="FFFFFF"/>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Cattle Rearing</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Cattle Other</w:t>
            </w:r>
          </w:p>
        </w:tc>
        <w:tc>
          <w:tcPr>
            <w:tcW w:w="992" w:type="dxa"/>
            <w:tcBorders>
              <w:top w:val="single" w:sz="4" w:space="0" w:color="auto"/>
              <w:left w:val="nil"/>
              <w:bottom w:val="single" w:sz="4" w:space="0" w:color="auto"/>
              <w:right w:val="nil"/>
            </w:tcBorders>
            <w:shd w:val="clear" w:color="000000" w:fill="FFFFFF"/>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Sheep</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Tillage</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rsidR="004061C3" w:rsidRPr="00340D8E" w:rsidRDefault="004061C3" w:rsidP="00EB4A2C">
            <w:pPr>
              <w:spacing w:after="0" w:line="240" w:lineRule="auto"/>
              <w:jc w:val="center"/>
              <w:rPr>
                <w:rFonts w:ascii="Times New Roman" w:eastAsia="Times New Roman" w:hAnsi="Times New Roman" w:cs="Times New Roman"/>
                <w:b/>
                <w:bCs/>
                <w:sz w:val="24"/>
                <w:szCs w:val="24"/>
                <w:lang w:eastAsia="en-IE"/>
              </w:rPr>
            </w:pPr>
            <w:r w:rsidRPr="00340D8E">
              <w:rPr>
                <w:rFonts w:ascii="Times New Roman" w:eastAsia="Times New Roman" w:hAnsi="Times New Roman" w:cs="Times New Roman"/>
                <w:b/>
                <w:bCs/>
                <w:sz w:val="24"/>
                <w:szCs w:val="24"/>
                <w:lang w:eastAsia="en-IE"/>
              </w:rPr>
              <w:t>All farms</w:t>
            </w:r>
          </w:p>
        </w:tc>
      </w:tr>
      <w:tr w:rsidR="00503CDA" w:rsidRPr="00340D8E" w:rsidTr="00503CDA">
        <w:trPr>
          <w:trHeight w:val="603"/>
        </w:trPr>
        <w:tc>
          <w:tcPr>
            <w:tcW w:w="2269" w:type="dxa"/>
            <w:tcBorders>
              <w:top w:val="nil"/>
              <w:left w:val="single" w:sz="4" w:space="0" w:color="auto"/>
              <w:bottom w:val="nil"/>
              <w:right w:val="nil"/>
            </w:tcBorders>
            <w:shd w:val="clear" w:color="auto" w:fill="auto"/>
            <w:noWrap/>
            <w:vAlign w:val="bottom"/>
            <w:hideMark/>
          </w:tcPr>
          <w:p w:rsidR="00503CDA" w:rsidRPr="00340D8E" w:rsidRDefault="00503CDA" w:rsidP="00503CDA">
            <w:pPr>
              <w:spacing w:after="0" w:line="240" w:lineRule="auto"/>
              <w:jc w:val="left"/>
              <w:rPr>
                <w:rFonts w:ascii="Times New Roman" w:eastAsia="Times New Roman" w:hAnsi="Times New Roman" w:cs="Times New Roman"/>
                <w:color w:val="000000"/>
                <w:sz w:val="24"/>
                <w:szCs w:val="24"/>
                <w:lang w:eastAsia="en-IE"/>
              </w:rPr>
            </w:pPr>
            <w:r>
              <w:rPr>
                <w:rFonts w:ascii="Times New Roman" w:eastAsia="Times New Roman" w:hAnsi="Times New Roman" w:cs="Times New Roman"/>
                <w:color w:val="000000"/>
                <w:sz w:val="24"/>
                <w:szCs w:val="24"/>
                <w:lang w:eastAsia="en-IE"/>
              </w:rPr>
              <w:t>Direct payment</w:t>
            </w:r>
            <w:r w:rsidRPr="00340D8E">
              <w:rPr>
                <w:rFonts w:ascii="Times New Roman" w:eastAsia="Times New Roman" w:hAnsi="Times New Roman" w:cs="Times New Roman"/>
                <w:color w:val="000000"/>
                <w:sz w:val="24"/>
                <w:szCs w:val="24"/>
                <w:lang w:eastAsia="en-IE"/>
              </w:rPr>
              <w:t>s</w:t>
            </w:r>
          </w:p>
        </w:tc>
        <w:tc>
          <w:tcPr>
            <w:tcW w:w="1134" w:type="dxa"/>
            <w:tcBorders>
              <w:top w:val="nil"/>
              <w:left w:val="single" w:sz="4" w:space="0" w:color="auto"/>
              <w:bottom w:val="nil"/>
              <w:right w:val="single" w:sz="4" w:space="0" w:color="auto"/>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21,125 </w:t>
            </w:r>
          </w:p>
        </w:tc>
        <w:tc>
          <w:tcPr>
            <w:tcW w:w="1134" w:type="dxa"/>
            <w:tcBorders>
              <w:top w:val="nil"/>
              <w:left w:val="nil"/>
              <w:bottom w:val="nil"/>
              <w:right w:val="nil"/>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15,811 </w:t>
            </w:r>
          </w:p>
        </w:tc>
        <w:tc>
          <w:tcPr>
            <w:tcW w:w="992" w:type="dxa"/>
            <w:tcBorders>
              <w:top w:val="nil"/>
              <w:left w:val="single" w:sz="4" w:space="0" w:color="auto"/>
              <w:bottom w:val="nil"/>
              <w:right w:val="single" w:sz="4" w:space="0" w:color="auto"/>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18,186 </w:t>
            </w:r>
          </w:p>
        </w:tc>
        <w:tc>
          <w:tcPr>
            <w:tcW w:w="992" w:type="dxa"/>
            <w:tcBorders>
              <w:top w:val="nil"/>
              <w:left w:val="nil"/>
              <w:bottom w:val="nil"/>
              <w:right w:val="nil"/>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18,006 </w:t>
            </w:r>
          </w:p>
        </w:tc>
        <w:tc>
          <w:tcPr>
            <w:tcW w:w="992" w:type="dxa"/>
            <w:tcBorders>
              <w:top w:val="nil"/>
              <w:left w:val="single" w:sz="4" w:space="0" w:color="auto"/>
              <w:bottom w:val="nil"/>
              <w:right w:val="single" w:sz="4" w:space="0" w:color="auto"/>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25,909 </w:t>
            </w:r>
          </w:p>
        </w:tc>
        <w:tc>
          <w:tcPr>
            <w:tcW w:w="1058" w:type="dxa"/>
            <w:tcBorders>
              <w:top w:val="nil"/>
              <w:left w:val="nil"/>
              <w:bottom w:val="nil"/>
              <w:right w:val="single" w:sz="4" w:space="0" w:color="auto"/>
            </w:tcBorders>
            <w:shd w:val="clear" w:color="auto" w:fill="auto"/>
            <w:noWrap/>
            <w:vAlign w:val="bottom"/>
            <w:hideMark/>
          </w:tcPr>
          <w:p w:rsidR="00503CDA" w:rsidRPr="00340D8E" w:rsidRDefault="00503CDA" w:rsidP="00503CDA">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19,173 </w:t>
            </w:r>
          </w:p>
        </w:tc>
      </w:tr>
      <w:tr w:rsidR="004061C3" w:rsidRPr="00340D8E" w:rsidTr="00503CDA">
        <w:trPr>
          <w:trHeight w:val="281"/>
        </w:trPr>
        <w:tc>
          <w:tcPr>
            <w:tcW w:w="2269" w:type="dxa"/>
            <w:tcBorders>
              <w:top w:val="nil"/>
              <w:left w:val="single" w:sz="4" w:space="0" w:color="auto"/>
              <w:bottom w:val="nil"/>
              <w:right w:val="nil"/>
            </w:tcBorders>
            <w:shd w:val="clear" w:color="auto" w:fill="auto"/>
            <w:noWrap/>
            <w:vAlign w:val="bottom"/>
            <w:hideMark/>
          </w:tcPr>
          <w:p w:rsidR="004061C3" w:rsidRPr="00340D8E" w:rsidRDefault="004061C3" w:rsidP="00503CDA">
            <w:pPr>
              <w:spacing w:after="0" w:line="240" w:lineRule="auto"/>
              <w:jc w:val="left"/>
              <w:rPr>
                <w:rFonts w:ascii="Times New Roman" w:eastAsia="Times New Roman" w:hAnsi="Times New Roman" w:cs="Times New Roman"/>
                <w:color w:val="000000"/>
                <w:sz w:val="24"/>
                <w:szCs w:val="24"/>
                <w:lang w:eastAsia="en-IE"/>
              </w:rPr>
            </w:pPr>
            <w:r>
              <w:rPr>
                <w:rFonts w:ascii="Times New Roman" w:eastAsia="Times New Roman" w:hAnsi="Times New Roman" w:cs="Times New Roman"/>
                <w:color w:val="000000"/>
                <w:sz w:val="24"/>
                <w:szCs w:val="24"/>
                <w:lang w:eastAsia="en-IE"/>
              </w:rPr>
              <w:t>Family Farm Income</w:t>
            </w:r>
          </w:p>
        </w:tc>
        <w:tc>
          <w:tcPr>
            <w:tcW w:w="1134" w:type="dxa"/>
            <w:tcBorders>
              <w:top w:val="nil"/>
              <w:left w:val="single" w:sz="4" w:space="0" w:color="auto"/>
              <w:bottom w:val="nil"/>
              <w:right w:val="single" w:sz="4" w:space="0" w:color="auto"/>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64,371 </w:t>
            </w:r>
          </w:p>
        </w:tc>
        <w:tc>
          <w:tcPr>
            <w:tcW w:w="1134" w:type="dxa"/>
            <w:tcBorders>
              <w:top w:val="nil"/>
              <w:left w:val="nil"/>
              <w:bottom w:val="nil"/>
              <w:right w:val="nil"/>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9,469 </w:t>
            </w:r>
          </w:p>
        </w:tc>
        <w:tc>
          <w:tcPr>
            <w:tcW w:w="992" w:type="dxa"/>
            <w:tcBorders>
              <w:top w:val="nil"/>
              <w:left w:val="single" w:sz="4" w:space="0" w:color="auto"/>
              <w:bottom w:val="nil"/>
              <w:right w:val="single" w:sz="4" w:space="0" w:color="auto"/>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15,695 </w:t>
            </w:r>
          </w:p>
        </w:tc>
        <w:tc>
          <w:tcPr>
            <w:tcW w:w="992" w:type="dxa"/>
            <w:tcBorders>
              <w:top w:val="nil"/>
              <w:left w:val="nil"/>
              <w:bottom w:val="nil"/>
              <w:right w:val="nil"/>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11,160 </w:t>
            </w:r>
          </w:p>
        </w:tc>
        <w:tc>
          <w:tcPr>
            <w:tcW w:w="992" w:type="dxa"/>
            <w:tcBorders>
              <w:top w:val="nil"/>
              <w:left w:val="single" w:sz="4" w:space="0" w:color="auto"/>
              <w:bottom w:val="nil"/>
              <w:right w:val="single" w:sz="4" w:space="0" w:color="auto"/>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29,907 </w:t>
            </w:r>
          </w:p>
        </w:tc>
        <w:tc>
          <w:tcPr>
            <w:tcW w:w="1058" w:type="dxa"/>
            <w:tcBorders>
              <w:top w:val="nil"/>
              <w:left w:val="nil"/>
              <w:bottom w:val="nil"/>
              <w:right w:val="single" w:sz="4" w:space="0" w:color="auto"/>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color w:val="000000"/>
                <w:sz w:val="24"/>
                <w:szCs w:val="24"/>
                <w:lang w:eastAsia="en-IE"/>
              </w:rPr>
            </w:pPr>
            <w:r w:rsidRPr="00340D8E">
              <w:rPr>
                <w:rFonts w:ascii="Times New Roman" w:eastAsia="Times New Roman" w:hAnsi="Times New Roman" w:cs="Times New Roman"/>
                <w:color w:val="000000"/>
                <w:sz w:val="24"/>
                <w:szCs w:val="24"/>
                <w:lang w:eastAsia="en-IE"/>
              </w:rPr>
              <w:t xml:space="preserve">  25,639 </w:t>
            </w:r>
          </w:p>
        </w:tc>
      </w:tr>
      <w:tr w:rsidR="004061C3" w:rsidRPr="00340D8E" w:rsidTr="009378BB">
        <w:trPr>
          <w:trHeight w:val="287"/>
        </w:trPr>
        <w:tc>
          <w:tcPr>
            <w:tcW w:w="2269" w:type="dxa"/>
            <w:tcBorders>
              <w:top w:val="nil"/>
              <w:left w:val="single" w:sz="4" w:space="0" w:color="auto"/>
              <w:bottom w:val="single" w:sz="4" w:space="0" w:color="auto"/>
              <w:right w:val="nil"/>
            </w:tcBorders>
            <w:shd w:val="clear" w:color="auto" w:fill="auto"/>
            <w:noWrap/>
            <w:vAlign w:val="bottom"/>
            <w:hideMark/>
          </w:tcPr>
          <w:p w:rsidR="004061C3" w:rsidRPr="009378BB" w:rsidRDefault="004061C3" w:rsidP="00503CDA">
            <w:pPr>
              <w:spacing w:after="0" w:line="240" w:lineRule="auto"/>
              <w:jc w:val="lef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DPs as % FFI</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061C3" w:rsidRPr="009378BB"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33%</w:t>
            </w:r>
          </w:p>
        </w:tc>
        <w:tc>
          <w:tcPr>
            <w:tcW w:w="1134" w:type="dxa"/>
            <w:tcBorders>
              <w:top w:val="nil"/>
              <w:left w:val="nil"/>
              <w:bottom w:val="single" w:sz="4" w:space="0" w:color="auto"/>
              <w:right w:val="nil"/>
            </w:tcBorders>
            <w:shd w:val="clear" w:color="auto" w:fill="auto"/>
            <w:noWrap/>
            <w:vAlign w:val="bottom"/>
            <w:hideMark/>
          </w:tcPr>
          <w:p w:rsidR="004061C3" w:rsidRPr="009378BB"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167%</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4061C3" w:rsidRPr="009378BB"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116%</w:t>
            </w:r>
          </w:p>
        </w:tc>
        <w:tc>
          <w:tcPr>
            <w:tcW w:w="992" w:type="dxa"/>
            <w:tcBorders>
              <w:top w:val="nil"/>
              <w:left w:val="nil"/>
              <w:bottom w:val="single" w:sz="4" w:space="0" w:color="auto"/>
              <w:right w:val="nil"/>
            </w:tcBorders>
            <w:shd w:val="clear" w:color="auto" w:fill="auto"/>
            <w:noWrap/>
            <w:vAlign w:val="bottom"/>
            <w:hideMark/>
          </w:tcPr>
          <w:p w:rsidR="004061C3" w:rsidRPr="009378BB"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161%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4061C3" w:rsidRPr="009378BB"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87%</w:t>
            </w:r>
          </w:p>
        </w:tc>
        <w:tc>
          <w:tcPr>
            <w:tcW w:w="1058" w:type="dxa"/>
            <w:tcBorders>
              <w:top w:val="nil"/>
              <w:left w:val="nil"/>
              <w:bottom w:val="single" w:sz="4" w:space="0" w:color="auto"/>
              <w:right w:val="single" w:sz="4" w:space="0" w:color="auto"/>
            </w:tcBorders>
            <w:shd w:val="clear" w:color="auto" w:fill="auto"/>
            <w:noWrap/>
            <w:vAlign w:val="bottom"/>
            <w:hideMark/>
          </w:tcPr>
          <w:p w:rsidR="004061C3" w:rsidRPr="00340D8E" w:rsidRDefault="004061C3" w:rsidP="00EB4A2C">
            <w:pPr>
              <w:spacing w:after="0" w:line="240" w:lineRule="auto"/>
              <w:jc w:val="right"/>
              <w:rPr>
                <w:rFonts w:ascii="Times New Roman" w:eastAsia="Times New Roman" w:hAnsi="Times New Roman" w:cs="Times New Roman"/>
                <w:b/>
                <w:bCs/>
                <w:i/>
                <w:iCs/>
                <w:color w:val="000000"/>
                <w:sz w:val="24"/>
                <w:szCs w:val="24"/>
                <w:lang w:eastAsia="en-IE"/>
              </w:rPr>
            </w:pPr>
            <w:r w:rsidRPr="009378BB">
              <w:rPr>
                <w:rFonts w:ascii="Times New Roman" w:eastAsia="Times New Roman" w:hAnsi="Times New Roman" w:cs="Times New Roman"/>
                <w:b/>
                <w:bCs/>
                <w:i/>
                <w:iCs/>
                <w:color w:val="000000"/>
                <w:sz w:val="24"/>
                <w:szCs w:val="24"/>
                <w:lang w:eastAsia="en-IE"/>
              </w:rPr>
              <w:t>75%</w:t>
            </w:r>
          </w:p>
        </w:tc>
      </w:tr>
    </w:tbl>
    <w:p w:rsidR="004061C3" w:rsidRDefault="004061C3" w:rsidP="004061C3">
      <w:pPr>
        <w:spacing w:after="0" w:line="360" w:lineRule="auto"/>
        <w:rPr>
          <w:rFonts w:ascii="Times New Roman" w:eastAsia="Calibri" w:hAnsi="Times New Roman" w:cs="Times New Roman"/>
          <w:sz w:val="24"/>
          <w:szCs w:val="24"/>
        </w:rPr>
      </w:pPr>
    </w:p>
    <w:p w:rsidR="00503CDA" w:rsidRDefault="00503CDA" w:rsidP="00EB4A2C">
      <w:pPr>
        <w:spacing w:after="0" w:line="360" w:lineRule="auto"/>
        <w:rPr>
          <w:rFonts w:ascii="Times New Roman" w:eastAsia="Calibri" w:hAnsi="Times New Roman" w:cs="Times New Roman"/>
          <w:sz w:val="24"/>
          <w:szCs w:val="24"/>
        </w:rPr>
      </w:pPr>
    </w:p>
    <w:p w:rsidR="00EB2FD9" w:rsidRDefault="00EB2FD9" w:rsidP="00EB4A2C">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Figures </w:t>
      </w:r>
      <w:r w:rsidR="00B579FC">
        <w:rPr>
          <w:rFonts w:ascii="Times New Roman" w:eastAsia="Calibri" w:hAnsi="Times New Roman" w:cs="Times New Roman"/>
          <w:sz w:val="24"/>
          <w:szCs w:val="24"/>
        </w:rPr>
        <w:t>5</w:t>
      </w:r>
      <w:r>
        <w:rPr>
          <w:rFonts w:ascii="Times New Roman" w:eastAsia="Calibri" w:hAnsi="Times New Roman" w:cs="Times New Roman"/>
          <w:sz w:val="24"/>
          <w:szCs w:val="24"/>
        </w:rPr>
        <w:t xml:space="preserve"> and </w:t>
      </w:r>
      <w:r w:rsidR="00B579FC">
        <w:rPr>
          <w:rFonts w:ascii="Times New Roman" w:eastAsia="Calibri" w:hAnsi="Times New Roman" w:cs="Times New Roman"/>
          <w:sz w:val="24"/>
          <w:szCs w:val="24"/>
        </w:rPr>
        <w:t>6</w:t>
      </w:r>
      <w:r>
        <w:rPr>
          <w:rFonts w:ascii="Times New Roman" w:eastAsia="Calibri" w:hAnsi="Times New Roman" w:cs="Times New Roman"/>
          <w:sz w:val="24"/>
          <w:szCs w:val="24"/>
        </w:rPr>
        <w:t xml:space="preserve"> below illustrate that the family farm income on dairy farms  is much higher than on tillage or drystock farms, even when farm size is taken into account, by looking at farm income per hectare; and when distinguishing between full-time and part-time farms in terms of labour input</w:t>
      </w:r>
      <w:r w:rsidR="00427DC2">
        <w:rPr>
          <w:rStyle w:val="EndnoteReference"/>
          <w:rFonts w:ascii="Times New Roman" w:eastAsia="Calibri" w:hAnsi="Times New Roman" w:cs="Times New Roman"/>
          <w:sz w:val="24"/>
          <w:szCs w:val="24"/>
        </w:rPr>
        <w:endnoteReference w:id="7"/>
      </w:r>
      <w:r w:rsidR="00427DC2">
        <w:rPr>
          <w:rFonts w:ascii="Times New Roman" w:eastAsia="Calibri" w:hAnsi="Times New Roman" w:cs="Times New Roman"/>
          <w:sz w:val="24"/>
          <w:szCs w:val="24"/>
        </w:rPr>
        <w:t>.</w:t>
      </w:r>
    </w:p>
    <w:p w:rsidR="00EB2FD9" w:rsidRDefault="00EB2FD9" w:rsidP="004061C3">
      <w:pPr>
        <w:spacing w:after="0" w:line="360" w:lineRule="auto"/>
        <w:rPr>
          <w:rFonts w:ascii="Times New Roman" w:eastAsia="Calibri" w:hAnsi="Times New Roman" w:cs="Times New Roman"/>
          <w:sz w:val="24"/>
          <w:szCs w:val="24"/>
        </w:rPr>
      </w:pPr>
    </w:p>
    <w:p w:rsidR="00EB2FD9" w:rsidRDefault="00EB2FD9">
      <w:pPr>
        <w:rPr>
          <w:rFonts w:ascii="Times New Roman" w:eastAsia="Calibri" w:hAnsi="Times New Roman" w:cs="Times New Roman"/>
          <w:b/>
          <w:i/>
          <w:sz w:val="24"/>
          <w:szCs w:val="24"/>
        </w:rPr>
      </w:pPr>
      <w:r>
        <w:rPr>
          <w:rFonts w:ascii="Times New Roman" w:eastAsia="Calibri" w:hAnsi="Times New Roman" w:cs="Times New Roman"/>
          <w:b/>
          <w:i/>
          <w:sz w:val="24"/>
          <w:szCs w:val="24"/>
        </w:rPr>
        <w:br w:type="page"/>
      </w:r>
    </w:p>
    <w:p w:rsidR="00EB2FD9" w:rsidRDefault="00EB2FD9" w:rsidP="00974C5F">
      <w:pPr>
        <w:pStyle w:val="Heading3"/>
        <w:rPr>
          <w:rFonts w:eastAsia="Calibri"/>
        </w:rPr>
      </w:pPr>
      <w:r>
        <w:rPr>
          <w:rFonts w:eastAsia="Calibri"/>
        </w:rPr>
        <w:lastRenderedPageBreak/>
        <w:t xml:space="preserve"> </w:t>
      </w:r>
      <w:bookmarkStart w:id="11" w:name="_Toc399850318"/>
      <w:r>
        <w:rPr>
          <w:rFonts w:eastAsia="Calibri"/>
        </w:rPr>
        <w:t>Family farm income per hectare by farm type, 2013</w:t>
      </w:r>
      <w:bookmarkEnd w:id="11"/>
    </w:p>
    <w:p w:rsidR="00EB2FD9" w:rsidRDefault="00EB2FD9" w:rsidP="004061C3">
      <w:pPr>
        <w:spacing w:after="0" w:line="360" w:lineRule="auto"/>
        <w:rPr>
          <w:rFonts w:ascii="Times New Roman" w:eastAsia="Calibri" w:hAnsi="Times New Roman" w:cs="Times New Roman"/>
          <w:b/>
          <w:i/>
          <w:sz w:val="24"/>
          <w:szCs w:val="24"/>
        </w:rPr>
      </w:pPr>
      <w:r>
        <w:rPr>
          <w:rFonts w:ascii="Times New Roman" w:eastAsia="Calibri" w:hAnsi="Times New Roman" w:cs="Times New Roman"/>
          <w:b/>
          <w:i/>
          <w:noProof/>
          <w:sz w:val="24"/>
          <w:szCs w:val="24"/>
          <w:lang w:eastAsia="en-IE"/>
        </w:rPr>
        <w:drawing>
          <wp:inline distT="0" distB="0" distL="0" distR="0">
            <wp:extent cx="3853543" cy="252028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62227" cy="2525962"/>
                    </a:xfrm>
                    <a:prstGeom prst="rect">
                      <a:avLst/>
                    </a:prstGeom>
                    <a:noFill/>
                  </pic:spPr>
                </pic:pic>
              </a:graphicData>
            </a:graphic>
          </wp:inline>
        </w:drawing>
      </w:r>
    </w:p>
    <w:p w:rsidR="00EB2FD9" w:rsidRDefault="00EB2FD9" w:rsidP="004061C3">
      <w:pPr>
        <w:spacing w:after="0" w:line="360" w:lineRule="auto"/>
        <w:rPr>
          <w:rFonts w:ascii="Times New Roman" w:eastAsia="Calibri" w:hAnsi="Times New Roman" w:cs="Times New Roman"/>
          <w:b/>
          <w:i/>
          <w:sz w:val="24"/>
          <w:szCs w:val="24"/>
        </w:rPr>
      </w:pPr>
    </w:p>
    <w:p w:rsidR="00EB2FD9" w:rsidRPr="00EB2FD9" w:rsidRDefault="00EB2FD9" w:rsidP="00974C5F">
      <w:pPr>
        <w:pStyle w:val="Heading3"/>
        <w:rPr>
          <w:rFonts w:eastAsia="Calibri"/>
        </w:rPr>
      </w:pPr>
      <w:r>
        <w:rPr>
          <w:rFonts w:eastAsia="Calibri"/>
        </w:rPr>
        <w:t xml:space="preserve"> </w:t>
      </w:r>
      <w:bookmarkStart w:id="12" w:name="_Toc399850319"/>
      <w:r>
        <w:rPr>
          <w:rFonts w:eastAsia="Calibri"/>
        </w:rPr>
        <w:t>Family farm income by full-time and part-time farm, 2013</w:t>
      </w:r>
      <w:bookmarkEnd w:id="12"/>
    </w:p>
    <w:p w:rsidR="00EB2FD9" w:rsidRDefault="00EB4A2C" w:rsidP="004061C3">
      <w:pPr>
        <w:spacing w:after="0" w:line="360"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en-IE"/>
        </w:rPr>
        <w:drawing>
          <wp:inline distT="0" distB="0" distL="0" distR="0">
            <wp:extent cx="3885798" cy="2541377"/>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93971" cy="2546722"/>
                    </a:xfrm>
                    <a:prstGeom prst="rect">
                      <a:avLst/>
                    </a:prstGeom>
                    <a:noFill/>
                  </pic:spPr>
                </pic:pic>
              </a:graphicData>
            </a:graphic>
          </wp:inline>
        </w:drawing>
      </w:r>
    </w:p>
    <w:p w:rsidR="00EB2FD9" w:rsidRPr="00340D8E" w:rsidRDefault="00EB2FD9" w:rsidP="004061C3">
      <w:pPr>
        <w:spacing w:after="0" w:line="360" w:lineRule="auto"/>
        <w:rPr>
          <w:rFonts w:ascii="Times New Roman" w:eastAsia="Calibri" w:hAnsi="Times New Roman" w:cs="Times New Roman"/>
          <w:sz w:val="24"/>
          <w:szCs w:val="24"/>
        </w:rPr>
      </w:pPr>
    </w:p>
    <w:p w:rsidR="001C01EA" w:rsidRPr="001C01EA" w:rsidRDefault="001C01EA" w:rsidP="009339E0">
      <w:pPr>
        <w:pStyle w:val="Heading2"/>
      </w:pPr>
      <w:bookmarkStart w:id="13" w:name="_Toc399850320"/>
      <w:r w:rsidRPr="001C01EA">
        <w:t>Farm household</w:t>
      </w:r>
      <w:r w:rsidR="00974C5F">
        <w:t xml:space="preserve"> </w:t>
      </w:r>
      <w:r w:rsidRPr="001C01EA">
        <w:t>income</w:t>
      </w:r>
      <w:bookmarkEnd w:id="13"/>
    </w:p>
    <w:p w:rsidR="00340D8E" w:rsidRPr="00340D8E" w:rsidRDefault="004061C3" w:rsidP="00340D8E">
      <w:pPr>
        <w:spacing w:after="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Farm income is not the only source of income for farm households. </w:t>
      </w:r>
      <w:r w:rsidR="00340D8E" w:rsidRPr="00340D8E">
        <w:rPr>
          <w:rFonts w:ascii="Times New Roman" w:eastAsia="Calibri" w:hAnsi="Times New Roman" w:cs="Times New Roman"/>
          <w:sz w:val="24"/>
          <w:szCs w:val="24"/>
        </w:rPr>
        <w:t xml:space="preserve">On </w:t>
      </w:r>
      <w:r w:rsidR="00340D8E" w:rsidRPr="00340D8E">
        <w:rPr>
          <w:rFonts w:ascii="Times New Roman" w:eastAsia="Calibri" w:hAnsi="Times New Roman" w:cs="Times New Roman"/>
          <w:b/>
          <w:sz w:val="24"/>
          <w:szCs w:val="24"/>
        </w:rPr>
        <w:t>2</w:t>
      </w:r>
      <w:r w:rsidR="00B53659">
        <w:rPr>
          <w:rFonts w:ascii="Times New Roman" w:eastAsia="Calibri" w:hAnsi="Times New Roman" w:cs="Times New Roman"/>
          <w:b/>
          <w:sz w:val="24"/>
          <w:szCs w:val="24"/>
        </w:rPr>
        <w:t>9</w:t>
      </w:r>
      <w:r w:rsidR="00340D8E" w:rsidRPr="00340D8E">
        <w:rPr>
          <w:rFonts w:ascii="Times New Roman" w:eastAsia="Calibri" w:hAnsi="Times New Roman" w:cs="Times New Roman"/>
          <w:b/>
          <w:sz w:val="24"/>
          <w:szCs w:val="24"/>
        </w:rPr>
        <w:t>%</w:t>
      </w:r>
      <w:r w:rsidR="00340D8E" w:rsidRPr="00340D8E">
        <w:rPr>
          <w:rFonts w:ascii="Times New Roman" w:eastAsia="Calibri" w:hAnsi="Times New Roman" w:cs="Times New Roman"/>
          <w:sz w:val="24"/>
          <w:szCs w:val="24"/>
        </w:rPr>
        <w:t xml:space="preserve"> of </w:t>
      </w:r>
      <w:r w:rsidR="0018204F" w:rsidRPr="004061C3">
        <w:rPr>
          <w:rFonts w:ascii="Times New Roman" w:eastAsia="Calibri" w:hAnsi="Times New Roman" w:cs="Times New Roman"/>
          <w:sz w:val="24"/>
          <w:szCs w:val="24"/>
        </w:rPr>
        <w:t xml:space="preserve">NFS </w:t>
      </w:r>
      <w:r w:rsidR="00340D8E" w:rsidRPr="00340D8E">
        <w:rPr>
          <w:rFonts w:ascii="Times New Roman" w:eastAsia="Calibri" w:hAnsi="Times New Roman" w:cs="Times New Roman"/>
          <w:sz w:val="24"/>
          <w:szCs w:val="24"/>
        </w:rPr>
        <w:t xml:space="preserve">farms the farm holder had an off-farm job, and on </w:t>
      </w:r>
      <w:r w:rsidR="00340D8E" w:rsidRPr="00340D8E">
        <w:rPr>
          <w:rFonts w:ascii="Times New Roman" w:eastAsia="Calibri" w:hAnsi="Times New Roman" w:cs="Times New Roman"/>
          <w:b/>
          <w:sz w:val="24"/>
          <w:szCs w:val="24"/>
        </w:rPr>
        <w:t>51%</w:t>
      </w:r>
      <w:r w:rsidR="00340D8E" w:rsidRPr="00340D8E">
        <w:rPr>
          <w:rFonts w:ascii="Times New Roman" w:eastAsia="Calibri" w:hAnsi="Times New Roman" w:cs="Times New Roman"/>
          <w:sz w:val="24"/>
          <w:szCs w:val="24"/>
        </w:rPr>
        <w:t xml:space="preserve"> of farms either the holder and/or spouse had an off-farm job in 2013. </w:t>
      </w:r>
      <w:r>
        <w:rPr>
          <w:rFonts w:ascii="Times New Roman" w:eastAsia="Calibri" w:hAnsi="Times New Roman" w:cs="Times New Roman"/>
          <w:sz w:val="24"/>
          <w:szCs w:val="24"/>
        </w:rPr>
        <w:t xml:space="preserve"> </w:t>
      </w:r>
      <w:r w:rsidR="00340D8E" w:rsidRPr="00340D8E">
        <w:rPr>
          <w:rFonts w:ascii="Times New Roman" w:eastAsia="Calibri" w:hAnsi="Times New Roman" w:cs="Times New Roman"/>
          <w:sz w:val="24"/>
          <w:szCs w:val="24"/>
        </w:rPr>
        <w:t xml:space="preserve">Overall, it is estimated that on </w:t>
      </w:r>
      <w:r w:rsidR="00340D8E" w:rsidRPr="00340D8E">
        <w:rPr>
          <w:rFonts w:ascii="Times New Roman" w:eastAsia="Calibri" w:hAnsi="Times New Roman" w:cs="Times New Roman"/>
          <w:b/>
          <w:sz w:val="24"/>
          <w:szCs w:val="24"/>
        </w:rPr>
        <w:t>75%</w:t>
      </w:r>
      <w:r w:rsidR="00340D8E" w:rsidRPr="00340D8E">
        <w:rPr>
          <w:rFonts w:ascii="Times New Roman" w:eastAsia="Calibri" w:hAnsi="Times New Roman" w:cs="Times New Roman"/>
          <w:sz w:val="24"/>
          <w:szCs w:val="24"/>
        </w:rPr>
        <w:t xml:space="preserve"> of farms, either the farmer and/or spouse had another source of off-farm income, be it from employment, pensions or other social welfare payments</w:t>
      </w:r>
      <w:r w:rsidR="009322B5">
        <w:rPr>
          <w:rFonts w:ascii="Times New Roman" w:eastAsia="Calibri" w:hAnsi="Times New Roman" w:cs="Times New Roman"/>
          <w:sz w:val="24"/>
          <w:szCs w:val="24"/>
        </w:rPr>
        <w:t xml:space="preserve"> in 2013</w:t>
      </w:r>
      <w:r w:rsidR="00340D8E" w:rsidRPr="00340D8E">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340D8E" w:rsidRPr="00340D8E" w:rsidRDefault="00340D8E" w:rsidP="00340D8E">
      <w:pPr>
        <w:ind w:left="360"/>
        <w:contextualSpacing/>
        <w:rPr>
          <w:rFonts w:ascii="Times New Roman" w:eastAsia="Calibri" w:hAnsi="Times New Roman" w:cs="Times New Roman"/>
          <w:sz w:val="24"/>
          <w:szCs w:val="24"/>
        </w:rPr>
      </w:pPr>
    </w:p>
    <w:p w:rsidR="00F44999" w:rsidRDefault="00F44999" w:rsidP="00304366">
      <w:pPr>
        <w:spacing w:after="0" w:line="360" w:lineRule="auto"/>
        <w:rPr>
          <w:rFonts w:ascii="Times New Roman" w:hAnsi="Times New Roman" w:cs="Times New Roman"/>
          <w:sz w:val="24"/>
          <w:szCs w:val="24"/>
        </w:rPr>
      </w:pPr>
    </w:p>
    <w:p w:rsidR="001C01EA" w:rsidRDefault="001C01EA">
      <w:pPr>
        <w:rPr>
          <w:rFonts w:ascii="Times New Roman" w:hAnsi="Times New Roman" w:cs="Times New Roman"/>
        </w:rPr>
      </w:pPr>
    </w:p>
    <w:p w:rsidR="00EB4A2C" w:rsidRDefault="00EB4A2C">
      <w:pPr>
        <w:rPr>
          <w:rFonts w:ascii="Times New Roman" w:hAnsi="Times New Roman" w:cs="Times New Roman"/>
          <w:b/>
          <w:color w:val="222A35" w:themeColor="text2" w:themeShade="80"/>
          <w:sz w:val="24"/>
          <w:szCs w:val="24"/>
          <w:u w:val="double" w:color="222A35" w:themeColor="text2" w:themeShade="80"/>
        </w:rPr>
      </w:pPr>
      <w:r>
        <w:rPr>
          <w:rFonts w:ascii="Times New Roman" w:hAnsi="Times New Roman" w:cs="Times New Roman"/>
          <w:b/>
          <w:color w:val="222A35" w:themeColor="text2" w:themeShade="80"/>
          <w:sz w:val="24"/>
          <w:szCs w:val="24"/>
          <w:u w:val="double" w:color="222A35" w:themeColor="text2" w:themeShade="80"/>
        </w:rPr>
        <w:br w:type="page"/>
      </w:r>
    </w:p>
    <w:p w:rsidR="001C01EA" w:rsidRDefault="001C01EA" w:rsidP="00BC3E9D">
      <w:pPr>
        <w:pStyle w:val="Heading1"/>
      </w:pPr>
      <w:bookmarkStart w:id="14" w:name="_Toc399850321"/>
      <w:r w:rsidRPr="001C01EA">
        <w:lastRenderedPageBreak/>
        <w:t xml:space="preserve">FARM </w:t>
      </w:r>
      <w:r>
        <w:t>STRUCTURES</w:t>
      </w:r>
      <w:bookmarkEnd w:id="14"/>
    </w:p>
    <w:p w:rsidR="00F82893" w:rsidRDefault="00F82893" w:rsidP="00F82893">
      <w:pPr>
        <w:spacing w:after="0" w:line="360" w:lineRule="auto"/>
        <w:rPr>
          <w:rFonts w:ascii="Times New Roman" w:hAnsi="Times New Roman" w:cs="Times New Roman"/>
        </w:rPr>
      </w:pPr>
    </w:p>
    <w:p w:rsidR="00F82893" w:rsidRPr="001C01EA" w:rsidRDefault="001C01EA" w:rsidP="009339E0">
      <w:pPr>
        <w:pStyle w:val="Heading2"/>
      </w:pPr>
      <w:bookmarkStart w:id="15" w:name="_Toc399850322"/>
      <w:r>
        <w:t>Number of farms</w:t>
      </w:r>
      <w:bookmarkEnd w:id="15"/>
    </w:p>
    <w:p w:rsidR="00F82893" w:rsidRPr="001C01EA" w:rsidRDefault="00F82893" w:rsidP="00F82893">
      <w:pPr>
        <w:spacing w:after="0" w:line="360" w:lineRule="auto"/>
        <w:rPr>
          <w:rFonts w:ascii="Times New Roman" w:hAnsi="Times New Roman" w:cs="Times New Roman"/>
          <w:sz w:val="24"/>
          <w:szCs w:val="24"/>
        </w:rPr>
      </w:pPr>
      <w:r w:rsidRPr="001C01EA">
        <w:rPr>
          <w:rFonts w:ascii="Times New Roman" w:hAnsi="Times New Roman" w:cs="Times New Roman"/>
          <w:sz w:val="24"/>
          <w:szCs w:val="24"/>
        </w:rPr>
        <w:t>According to the CSO Census of Agriculture 2010, there were 140,000 farms in Ireland, almost unchanged from the number of farms in the 2000 Census.  Prior to 2000, there had been a slow but steady decline in farm numbers, particularly in the smaller farm size categories.</w:t>
      </w:r>
    </w:p>
    <w:p w:rsidR="00F82893" w:rsidRPr="001C01EA" w:rsidRDefault="00F82893" w:rsidP="00F82893">
      <w:pPr>
        <w:spacing w:after="0" w:line="360" w:lineRule="auto"/>
        <w:rPr>
          <w:rFonts w:ascii="Times New Roman" w:hAnsi="Times New Roman" w:cs="Times New Roman"/>
          <w:sz w:val="24"/>
          <w:szCs w:val="24"/>
        </w:rPr>
      </w:pPr>
    </w:p>
    <w:p w:rsidR="00F82893" w:rsidRPr="001C01EA" w:rsidRDefault="00F82893" w:rsidP="00974C5F">
      <w:pPr>
        <w:pStyle w:val="Heading3"/>
      </w:pPr>
      <w:r w:rsidRPr="001C01EA">
        <w:t xml:space="preserve"> </w:t>
      </w:r>
      <w:bookmarkStart w:id="16" w:name="_Toc399850323"/>
      <w:r w:rsidRPr="001C01EA">
        <w:t>Farm numbers by farm size category, 1975 to 2010</w:t>
      </w:r>
      <w:bookmarkEnd w:id="16"/>
    </w:p>
    <w:p w:rsidR="00F82893" w:rsidRDefault="00F82893" w:rsidP="00F82893">
      <w:pPr>
        <w:spacing w:after="0" w:line="360" w:lineRule="auto"/>
        <w:rPr>
          <w:rFonts w:ascii="Times New Roman" w:hAnsi="Times New Roman" w:cs="Times New Roman"/>
        </w:rPr>
      </w:pPr>
      <w:r>
        <w:rPr>
          <w:rFonts w:ascii="Times New Roman" w:hAnsi="Times New Roman" w:cs="Times New Roman"/>
          <w:noProof/>
          <w:lang w:eastAsia="en-IE"/>
        </w:rPr>
        <w:drawing>
          <wp:inline distT="0" distB="0" distL="0" distR="0">
            <wp:extent cx="5290457" cy="3458796"/>
            <wp:effectExtent l="19050" t="19050" r="24765" b="279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6130" cy="3469043"/>
                    </a:xfrm>
                    <a:prstGeom prst="rect">
                      <a:avLst/>
                    </a:prstGeom>
                    <a:noFill/>
                    <a:ln>
                      <a:solidFill>
                        <a:srgbClr val="5B9BD5"/>
                      </a:solidFill>
                    </a:ln>
                  </pic:spPr>
                </pic:pic>
              </a:graphicData>
            </a:graphic>
          </wp:inline>
        </w:drawing>
      </w:r>
    </w:p>
    <w:p w:rsidR="0083147E" w:rsidRDefault="0083147E" w:rsidP="0083147E">
      <w:pPr>
        <w:spacing w:after="0"/>
        <w:outlineLvl w:val="1"/>
        <w:rPr>
          <w:rFonts w:eastAsia="Times New Roman" w:cs="Calibri"/>
          <w:bCs/>
          <w:sz w:val="24"/>
          <w:szCs w:val="24"/>
          <w:lang w:eastAsia="en-IE"/>
        </w:rPr>
      </w:pPr>
    </w:p>
    <w:p w:rsidR="0083147E" w:rsidRPr="009339E0" w:rsidRDefault="0083147E" w:rsidP="009339E0">
      <w:pPr>
        <w:spacing w:after="0" w:line="360" w:lineRule="auto"/>
        <w:outlineLvl w:val="1"/>
        <w:rPr>
          <w:rFonts w:ascii="Times New Roman" w:hAnsi="Times New Roman" w:cs="Times New Roman"/>
          <w:sz w:val="24"/>
          <w:szCs w:val="24"/>
        </w:rPr>
      </w:pPr>
      <w:r w:rsidRPr="009339E0">
        <w:rPr>
          <w:rFonts w:ascii="Times New Roman" w:hAnsi="Times New Roman" w:cs="Times New Roman"/>
          <w:sz w:val="24"/>
          <w:szCs w:val="24"/>
        </w:rPr>
        <w:t xml:space="preserve">Farms in Ireland are quite fragmented with the average holding made up of 3.8 separate parcels </w:t>
      </w:r>
      <w:r w:rsidR="00C73075" w:rsidRPr="009339E0">
        <w:rPr>
          <w:rFonts w:ascii="Times New Roman" w:hAnsi="Times New Roman" w:cs="Times New Roman"/>
          <w:sz w:val="24"/>
          <w:szCs w:val="24"/>
        </w:rPr>
        <w:t>(Census of Agriculture 2010). T</w:t>
      </w:r>
      <w:r w:rsidRPr="009339E0">
        <w:rPr>
          <w:rFonts w:ascii="Times New Roman" w:hAnsi="Times New Roman" w:cs="Times New Roman"/>
          <w:sz w:val="24"/>
          <w:szCs w:val="24"/>
        </w:rPr>
        <w:t xml:space="preserve">his figure has doubled from an average of 1.9 separate parcels per farm recorded in the 1991 Census of Agriculture. The degree of fragmentation is more pronounced in the </w:t>
      </w:r>
      <w:r w:rsidR="009322B5">
        <w:rPr>
          <w:rFonts w:ascii="Times New Roman" w:hAnsi="Times New Roman" w:cs="Times New Roman"/>
          <w:sz w:val="24"/>
          <w:szCs w:val="24"/>
        </w:rPr>
        <w:t>Border, Midlands, West (</w:t>
      </w:r>
      <w:r w:rsidRPr="009339E0">
        <w:rPr>
          <w:rFonts w:ascii="Times New Roman" w:hAnsi="Times New Roman" w:cs="Times New Roman"/>
          <w:sz w:val="24"/>
          <w:szCs w:val="24"/>
        </w:rPr>
        <w:t>BMW</w:t>
      </w:r>
      <w:r w:rsidR="009322B5">
        <w:rPr>
          <w:rFonts w:ascii="Times New Roman" w:hAnsi="Times New Roman" w:cs="Times New Roman"/>
          <w:sz w:val="24"/>
          <w:szCs w:val="24"/>
        </w:rPr>
        <w:t>)</w:t>
      </w:r>
      <w:r w:rsidRPr="009339E0">
        <w:rPr>
          <w:rFonts w:ascii="Times New Roman" w:hAnsi="Times New Roman" w:cs="Times New Roman"/>
          <w:sz w:val="24"/>
          <w:szCs w:val="24"/>
        </w:rPr>
        <w:t xml:space="preserve"> region with an average of 4.3 parcels per holding</w:t>
      </w:r>
      <w:r w:rsidR="00C73075" w:rsidRPr="009339E0">
        <w:rPr>
          <w:rFonts w:ascii="Times New Roman" w:hAnsi="Times New Roman" w:cs="Times New Roman"/>
          <w:sz w:val="24"/>
          <w:szCs w:val="24"/>
        </w:rPr>
        <w:t>,</w:t>
      </w:r>
      <w:r w:rsidRPr="009339E0">
        <w:rPr>
          <w:rFonts w:ascii="Times New Roman" w:hAnsi="Times New Roman" w:cs="Times New Roman"/>
          <w:sz w:val="24"/>
          <w:szCs w:val="24"/>
        </w:rPr>
        <w:t xml:space="preserve"> compared with 3.5 in the </w:t>
      </w:r>
      <w:r w:rsidR="00C73075" w:rsidRPr="009339E0">
        <w:rPr>
          <w:rFonts w:ascii="Times New Roman" w:hAnsi="Times New Roman" w:cs="Times New Roman"/>
          <w:sz w:val="24"/>
          <w:szCs w:val="24"/>
        </w:rPr>
        <w:t xml:space="preserve">South &amp; East region </w:t>
      </w:r>
      <w:r w:rsidRPr="009339E0">
        <w:rPr>
          <w:rFonts w:ascii="Times New Roman" w:hAnsi="Times New Roman" w:cs="Times New Roman"/>
          <w:sz w:val="24"/>
          <w:szCs w:val="24"/>
        </w:rPr>
        <w:t>in 2010.</w:t>
      </w:r>
    </w:p>
    <w:p w:rsidR="00C73075" w:rsidRPr="009339E0" w:rsidRDefault="00C73075" w:rsidP="009339E0">
      <w:pPr>
        <w:spacing w:after="0" w:line="360" w:lineRule="auto"/>
        <w:outlineLvl w:val="1"/>
        <w:rPr>
          <w:rFonts w:ascii="Times New Roman" w:hAnsi="Times New Roman" w:cs="Times New Roman"/>
          <w:sz w:val="24"/>
          <w:szCs w:val="24"/>
        </w:rPr>
      </w:pPr>
    </w:p>
    <w:p w:rsidR="00F82893" w:rsidRPr="001C01EA" w:rsidRDefault="001C01EA" w:rsidP="009339E0">
      <w:pPr>
        <w:pStyle w:val="Heading2"/>
      </w:pPr>
      <w:bookmarkStart w:id="17" w:name="_Toc399850324"/>
      <w:r>
        <w:t>National Farm Survey viability analysis</w:t>
      </w:r>
      <w:bookmarkEnd w:id="17"/>
    </w:p>
    <w:p w:rsidR="00E26316" w:rsidRPr="00143AD2" w:rsidRDefault="00F82893" w:rsidP="009339E0">
      <w:pPr>
        <w:spacing w:after="0" w:line="360" w:lineRule="auto"/>
        <w:rPr>
          <w:rFonts w:ascii="Times New Roman" w:hAnsi="Times New Roman" w:cs="Times New Roman"/>
          <w:sz w:val="24"/>
          <w:szCs w:val="24"/>
        </w:rPr>
      </w:pPr>
      <w:r w:rsidRPr="00143AD2">
        <w:rPr>
          <w:rFonts w:ascii="Times New Roman" w:hAnsi="Times New Roman" w:cs="Times New Roman"/>
          <w:sz w:val="24"/>
          <w:szCs w:val="24"/>
        </w:rPr>
        <w:t xml:space="preserve">Teagasc’s National Farm Survey is representative of 80,000 farms, with a standard output greater than €8,000 a year.  </w:t>
      </w:r>
      <w:r w:rsidR="00E26316" w:rsidRPr="00143AD2">
        <w:rPr>
          <w:rFonts w:ascii="Times New Roman" w:hAnsi="Times New Roman" w:cs="Times New Roman"/>
          <w:sz w:val="24"/>
          <w:szCs w:val="24"/>
        </w:rPr>
        <w:t xml:space="preserve">Recent </w:t>
      </w:r>
      <w:r w:rsidRPr="00143AD2">
        <w:rPr>
          <w:rFonts w:ascii="Times New Roman" w:hAnsi="Times New Roman" w:cs="Times New Roman"/>
          <w:sz w:val="24"/>
          <w:szCs w:val="24"/>
        </w:rPr>
        <w:t>Teagasc analysis</w:t>
      </w:r>
      <w:r w:rsidR="00143AD2">
        <w:rPr>
          <w:rFonts w:ascii="Times New Roman" w:hAnsi="Times New Roman" w:cs="Times New Roman"/>
          <w:sz w:val="24"/>
          <w:szCs w:val="24"/>
        </w:rPr>
        <w:t xml:space="preserve"> </w:t>
      </w:r>
      <w:r w:rsidR="00E26316" w:rsidRPr="00143AD2">
        <w:rPr>
          <w:rFonts w:ascii="Times New Roman" w:hAnsi="Times New Roman" w:cs="Times New Roman"/>
          <w:sz w:val="24"/>
          <w:szCs w:val="24"/>
        </w:rPr>
        <w:t>suggests that just over one-third of these farms are ‘viable’, one third are ‘sustainable’ and one third are ‘vulnerable’</w:t>
      </w:r>
      <w:r w:rsidR="00427DC2">
        <w:rPr>
          <w:rStyle w:val="EndnoteReference"/>
          <w:rFonts w:ascii="Times New Roman" w:hAnsi="Times New Roman" w:cs="Times New Roman"/>
        </w:rPr>
        <w:endnoteReference w:id="8"/>
      </w:r>
      <w:r w:rsidR="00427DC2" w:rsidRPr="00143AD2">
        <w:rPr>
          <w:rFonts w:ascii="Times New Roman" w:hAnsi="Times New Roman" w:cs="Times New Roman"/>
          <w:sz w:val="24"/>
          <w:szCs w:val="24"/>
        </w:rPr>
        <w:t>.</w:t>
      </w:r>
    </w:p>
    <w:p w:rsidR="00E26316" w:rsidRPr="001C01EA" w:rsidRDefault="00E26316" w:rsidP="009339E0">
      <w:pPr>
        <w:pStyle w:val="ListParagraph"/>
        <w:numPr>
          <w:ilvl w:val="0"/>
          <w:numId w:val="1"/>
        </w:numPr>
        <w:spacing w:after="0" w:line="360" w:lineRule="auto"/>
        <w:rPr>
          <w:rFonts w:ascii="Times New Roman" w:hAnsi="Times New Roman" w:cs="Times New Roman"/>
          <w:sz w:val="24"/>
          <w:szCs w:val="24"/>
        </w:rPr>
      </w:pPr>
      <w:r w:rsidRPr="00FC736B">
        <w:rPr>
          <w:rFonts w:ascii="Times New Roman" w:hAnsi="Times New Roman" w:cs="Times New Roman"/>
          <w:b/>
          <w:sz w:val="24"/>
          <w:szCs w:val="24"/>
        </w:rPr>
        <w:lastRenderedPageBreak/>
        <w:t>35% (28,000) farms are viable</w:t>
      </w:r>
      <w:r w:rsidRPr="001C01EA">
        <w:rPr>
          <w:rFonts w:ascii="Times New Roman" w:hAnsi="Times New Roman" w:cs="Times New Roman"/>
          <w:sz w:val="24"/>
          <w:szCs w:val="24"/>
        </w:rPr>
        <w:t xml:space="preserve">: </w:t>
      </w:r>
      <w:r w:rsidR="00FC736B">
        <w:rPr>
          <w:rFonts w:ascii="Times New Roman" w:hAnsi="Times New Roman" w:cs="Times New Roman"/>
          <w:sz w:val="24"/>
          <w:szCs w:val="24"/>
        </w:rPr>
        <w:t>A</w:t>
      </w:r>
      <w:r w:rsidRPr="001C01EA">
        <w:rPr>
          <w:rFonts w:ascii="Times New Roman" w:hAnsi="Times New Roman" w:cs="Times New Roman"/>
          <w:sz w:val="24"/>
          <w:szCs w:val="24"/>
        </w:rPr>
        <w:t xml:space="preserve"> farm is defined as economically viable if it can remunerate family labour at the average agricultural wage, and provide</w:t>
      </w:r>
      <w:r w:rsidR="00FC736B">
        <w:rPr>
          <w:rFonts w:ascii="Times New Roman" w:hAnsi="Times New Roman" w:cs="Times New Roman"/>
          <w:sz w:val="24"/>
          <w:szCs w:val="24"/>
        </w:rPr>
        <w:t xml:space="preserve"> a 5% return on non-land assets. Most viable farms are in dairying or tillage farming systems</w:t>
      </w:r>
      <w:r w:rsidR="00B53659">
        <w:rPr>
          <w:rFonts w:ascii="Times New Roman" w:hAnsi="Times New Roman" w:cs="Times New Roman"/>
          <w:sz w:val="24"/>
          <w:szCs w:val="24"/>
        </w:rPr>
        <w:t>, with 79% of dairy farms and 56% of tillage farms recorded as economically viable in 2013</w:t>
      </w:r>
      <w:r w:rsidR="00FC736B">
        <w:rPr>
          <w:rFonts w:ascii="Times New Roman" w:hAnsi="Times New Roman" w:cs="Times New Roman"/>
          <w:sz w:val="24"/>
          <w:szCs w:val="24"/>
        </w:rPr>
        <w:t xml:space="preserve">. </w:t>
      </w:r>
    </w:p>
    <w:p w:rsidR="00E26316" w:rsidRPr="001C01EA" w:rsidRDefault="00E26316" w:rsidP="009339E0">
      <w:pPr>
        <w:pStyle w:val="ListParagraph"/>
        <w:numPr>
          <w:ilvl w:val="0"/>
          <w:numId w:val="1"/>
        </w:numPr>
        <w:spacing w:after="0" w:line="360" w:lineRule="auto"/>
        <w:rPr>
          <w:rFonts w:ascii="Times New Roman" w:hAnsi="Times New Roman" w:cs="Times New Roman"/>
          <w:sz w:val="24"/>
          <w:szCs w:val="24"/>
        </w:rPr>
      </w:pPr>
      <w:r w:rsidRPr="00FC736B">
        <w:rPr>
          <w:rFonts w:ascii="Times New Roman" w:hAnsi="Times New Roman" w:cs="Times New Roman"/>
          <w:b/>
          <w:sz w:val="24"/>
          <w:szCs w:val="24"/>
        </w:rPr>
        <w:t xml:space="preserve">33% (26,000) are </w:t>
      </w:r>
      <w:r w:rsidR="00143AD2">
        <w:rPr>
          <w:rFonts w:ascii="Times New Roman" w:hAnsi="Times New Roman" w:cs="Times New Roman"/>
          <w:b/>
          <w:sz w:val="24"/>
          <w:szCs w:val="24"/>
        </w:rPr>
        <w:t>‘</w:t>
      </w:r>
      <w:r w:rsidRPr="00FC736B">
        <w:rPr>
          <w:rFonts w:ascii="Times New Roman" w:hAnsi="Times New Roman" w:cs="Times New Roman"/>
          <w:b/>
          <w:sz w:val="24"/>
          <w:szCs w:val="24"/>
        </w:rPr>
        <w:t>sustainable</w:t>
      </w:r>
      <w:r w:rsidR="00143AD2">
        <w:rPr>
          <w:rFonts w:ascii="Times New Roman" w:hAnsi="Times New Roman" w:cs="Times New Roman"/>
          <w:b/>
          <w:sz w:val="24"/>
          <w:szCs w:val="24"/>
        </w:rPr>
        <w:t>’</w:t>
      </w:r>
      <w:r w:rsidRPr="001C01EA">
        <w:rPr>
          <w:rFonts w:ascii="Times New Roman" w:hAnsi="Times New Roman" w:cs="Times New Roman"/>
          <w:sz w:val="24"/>
          <w:szCs w:val="24"/>
        </w:rPr>
        <w:t xml:space="preserve">: </w:t>
      </w:r>
      <w:r w:rsidR="00FC736B">
        <w:rPr>
          <w:rFonts w:ascii="Times New Roman" w:hAnsi="Times New Roman" w:cs="Times New Roman"/>
          <w:sz w:val="24"/>
          <w:szCs w:val="24"/>
        </w:rPr>
        <w:t xml:space="preserve">These farms are </w:t>
      </w:r>
      <w:r w:rsidRPr="001C01EA">
        <w:rPr>
          <w:rFonts w:ascii="Times New Roman" w:hAnsi="Times New Roman" w:cs="Times New Roman"/>
          <w:sz w:val="24"/>
          <w:szCs w:val="24"/>
        </w:rPr>
        <w:t>not economically ‘viable’</w:t>
      </w:r>
      <w:r w:rsidR="00FC736B">
        <w:rPr>
          <w:rFonts w:ascii="Times New Roman" w:hAnsi="Times New Roman" w:cs="Times New Roman"/>
          <w:sz w:val="24"/>
          <w:szCs w:val="24"/>
        </w:rPr>
        <w:t xml:space="preserve"> on the basis of their income from farming</w:t>
      </w:r>
      <w:r w:rsidRPr="001C01EA">
        <w:rPr>
          <w:rFonts w:ascii="Times New Roman" w:hAnsi="Times New Roman" w:cs="Times New Roman"/>
          <w:sz w:val="24"/>
          <w:szCs w:val="24"/>
        </w:rPr>
        <w:t xml:space="preserve">, but </w:t>
      </w:r>
      <w:r w:rsidR="00FC736B">
        <w:rPr>
          <w:rFonts w:ascii="Times New Roman" w:hAnsi="Times New Roman" w:cs="Times New Roman"/>
          <w:sz w:val="24"/>
          <w:szCs w:val="24"/>
        </w:rPr>
        <w:t xml:space="preserve">they are classified as </w:t>
      </w:r>
      <w:r w:rsidRPr="001C01EA">
        <w:rPr>
          <w:rFonts w:ascii="Times New Roman" w:hAnsi="Times New Roman" w:cs="Times New Roman"/>
          <w:sz w:val="24"/>
          <w:szCs w:val="24"/>
        </w:rPr>
        <w:t xml:space="preserve">sustainable due to off-farm employment of the </w:t>
      </w:r>
      <w:r w:rsidR="00FC736B">
        <w:rPr>
          <w:rFonts w:ascii="Times New Roman" w:hAnsi="Times New Roman" w:cs="Times New Roman"/>
          <w:sz w:val="24"/>
          <w:szCs w:val="24"/>
        </w:rPr>
        <w:t>farm holder and/or spouse</w:t>
      </w:r>
      <w:r w:rsidR="00427DC2">
        <w:rPr>
          <w:rFonts w:ascii="Times New Roman" w:hAnsi="Times New Roman" w:cs="Times New Roman"/>
          <w:sz w:val="24"/>
          <w:szCs w:val="24"/>
        </w:rPr>
        <w:t>.</w:t>
      </w:r>
    </w:p>
    <w:p w:rsidR="00143AD2" w:rsidRDefault="00E26316" w:rsidP="009339E0">
      <w:pPr>
        <w:pStyle w:val="ListParagraph"/>
        <w:numPr>
          <w:ilvl w:val="0"/>
          <w:numId w:val="1"/>
        </w:numPr>
        <w:spacing w:after="0" w:line="360" w:lineRule="auto"/>
        <w:rPr>
          <w:rFonts w:ascii="Times New Roman" w:hAnsi="Times New Roman" w:cs="Times New Roman"/>
          <w:sz w:val="24"/>
          <w:szCs w:val="24"/>
        </w:rPr>
      </w:pPr>
      <w:r w:rsidRPr="00143AD2">
        <w:rPr>
          <w:rFonts w:ascii="Times New Roman" w:hAnsi="Times New Roman" w:cs="Times New Roman"/>
          <w:b/>
          <w:sz w:val="24"/>
          <w:szCs w:val="24"/>
        </w:rPr>
        <w:t xml:space="preserve">32% (25,000) are </w:t>
      </w:r>
      <w:r w:rsidR="00143AD2" w:rsidRPr="00143AD2">
        <w:rPr>
          <w:rFonts w:ascii="Times New Roman" w:hAnsi="Times New Roman" w:cs="Times New Roman"/>
          <w:b/>
          <w:sz w:val="24"/>
          <w:szCs w:val="24"/>
        </w:rPr>
        <w:t>‘</w:t>
      </w:r>
      <w:r w:rsidRPr="00143AD2">
        <w:rPr>
          <w:rFonts w:ascii="Times New Roman" w:hAnsi="Times New Roman" w:cs="Times New Roman"/>
          <w:b/>
          <w:sz w:val="24"/>
          <w:szCs w:val="24"/>
        </w:rPr>
        <w:t>vulnerable</w:t>
      </w:r>
      <w:r w:rsidR="00143AD2" w:rsidRPr="00143AD2">
        <w:rPr>
          <w:rFonts w:ascii="Times New Roman" w:hAnsi="Times New Roman" w:cs="Times New Roman"/>
          <w:b/>
          <w:sz w:val="24"/>
          <w:szCs w:val="24"/>
        </w:rPr>
        <w:t>’:</w:t>
      </w:r>
      <w:r w:rsidRPr="00143AD2">
        <w:rPr>
          <w:rFonts w:ascii="Times New Roman" w:hAnsi="Times New Roman" w:cs="Times New Roman"/>
          <w:sz w:val="24"/>
          <w:szCs w:val="24"/>
        </w:rPr>
        <w:t xml:space="preserve"> </w:t>
      </w:r>
      <w:r w:rsidR="00FC736B" w:rsidRPr="00143AD2">
        <w:rPr>
          <w:rFonts w:ascii="Times New Roman" w:hAnsi="Times New Roman" w:cs="Times New Roman"/>
          <w:sz w:val="24"/>
          <w:szCs w:val="24"/>
        </w:rPr>
        <w:t>The income from farming is not sufficient to make these farms</w:t>
      </w:r>
      <w:r w:rsidRPr="00143AD2">
        <w:rPr>
          <w:rFonts w:ascii="Times New Roman" w:hAnsi="Times New Roman" w:cs="Times New Roman"/>
          <w:sz w:val="24"/>
          <w:szCs w:val="24"/>
        </w:rPr>
        <w:t xml:space="preserve"> economically viable</w:t>
      </w:r>
      <w:r w:rsidR="00FC736B" w:rsidRPr="00143AD2">
        <w:rPr>
          <w:rFonts w:ascii="Times New Roman" w:hAnsi="Times New Roman" w:cs="Times New Roman"/>
          <w:sz w:val="24"/>
          <w:szCs w:val="24"/>
        </w:rPr>
        <w:t xml:space="preserve">, </w:t>
      </w:r>
      <w:r w:rsidRPr="00143AD2">
        <w:rPr>
          <w:rFonts w:ascii="Times New Roman" w:hAnsi="Times New Roman" w:cs="Times New Roman"/>
          <w:sz w:val="24"/>
          <w:szCs w:val="24"/>
        </w:rPr>
        <w:t xml:space="preserve">and </w:t>
      </w:r>
      <w:r w:rsidR="00FC736B" w:rsidRPr="00143AD2">
        <w:rPr>
          <w:rFonts w:ascii="Times New Roman" w:hAnsi="Times New Roman" w:cs="Times New Roman"/>
          <w:sz w:val="24"/>
          <w:szCs w:val="24"/>
        </w:rPr>
        <w:t xml:space="preserve">they have no </w:t>
      </w:r>
      <w:r w:rsidRPr="00143AD2">
        <w:rPr>
          <w:rFonts w:ascii="Times New Roman" w:hAnsi="Times New Roman" w:cs="Times New Roman"/>
          <w:sz w:val="24"/>
          <w:szCs w:val="24"/>
        </w:rPr>
        <w:t>off</w:t>
      </w:r>
      <w:r w:rsidR="00FC736B" w:rsidRPr="00143AD2">
        <w:rPr>
          <w:rFonts w:ascii="Times New Roman" w:hAnsi="Times New Roman" w:cs="Times New Roman"/>
          <w:sz w:val="24"/>
          <w:szCs w:val="24"/>
        </w:rPr>
        <w:t>-</w:t>
      </w:r>
      <w:r w:rsidRPr="00143AD2">
        <w:rPr>
          <w:rFonts w:ascii="Times New Roman" w:hAnsi="Times New Roman" w:cs="Times New Roman"/>
          <w:sz w:val="24"/>
          <w:szCs w:val="24"/>
        </w:rPr>
        <w:t>farm employment.</w:t>
      </w:r>
      <w:r w:rsidR="001C01EA" w:rsidRPr="00143AD2">
        <w:rPr>
          <w:rFonts w:ascii="Times New Roman" w:hAnsi="Times New Roman" w:cs="Times New Roman"/>
          <w:sz w:val="24"/>
          <w:szCs w:val="24"/>
        </w:rPr>
        <w:t xml:space="preserve"> </w:t>
      </w:r>
      <w:r w:rsidR="00B53659">
        <w:rPr>
          <w:rFonts w:ascii="Times New Roman" w:hAnsi="Times New Roman" w:cs="Times New Roman"/>
          <w:sz w:val="24"/>
          <w:szCs w:val="24"/>
        </w:rPr>
        <w:t xml:space="preserve">About </w:t>
      </w:r>
      <w:r w:rsidR="00E66229">
        <w:rPr>
          <w:rFonts w:ascii="Times New Roman" w:hAnsi="Times New Roman" w:cs="Times New Roman"/>
          <w:sz w:val="24"/>
          <w:szCs w:val="24"/>
        </w:rPr>
        <w:t xml:space="preserve">half </w:t>
      </w:r>
      <w:r w:rsidR="00E66229" w:rsidRPr="00143AD2">
        <w:rPr>
          <w:rFonts w:ascii="Times New Roman" w:hAnsi="Times New Roman" w:cs="Times New Roman"/>
          <w:sz w:val="24"/>
          <w:szCs w:val="24"/>
        </w:rPr>
        <w:t>of</w:t>
      </w:r>
      <w:r w:rsidR="00FC736B" w:rsidRPr="00143AD2">
        <w:rPr>
          <w:rFonts w:ascii="Times New Roman" w:hAnsi="Times New Roman" w:cs="Times New Roman"/>
          <w:sz w:val="24"/>
          <w:szCs w:val="24"/>
        </w:rPr>
        <w:t xml:space="preserve"> these farm holders are aged over 65. </w:t>
      </w:r>
      <w:r w:rsidR="001C01EA" w:rsidRPr="00143AD2">
        <w:rPr>
          <w:rFonts w:ascii="Times New Roman" w:hAnsi="Times New Roman" w:cs="Times New Roman"/>
          <w:sz w:val="24"/>
          <w:szCs w:val="24"/>
        </w:rPr>
        <w:t xml:space="preserve">These </w:t>
      </w:r>
      <w:r w:rsidR="00FC736B" w:rsidRPr="00143AD2">
        <w:rPr>
          <w:rFonts w:ascii="Times New Roman" w:hAnsi="Times New Roman" w:cs="Times New Roman"/>
          <w:sz w:val="24"/>
          <w:szCs w:val="24"/>
        </w:rPr>
        <w:t>farm</w:t>
      </w:r>
      <w:r w:rsidR="00143AD2">
        <w:rPr>
          <w:rFonts w:ascii="Times New Roman" w:hAnsi="Times New Roman" w:cs="Times New Roman"/>
          <w:sz w:val="24"/>
          <w:szCs w:val="24"/>
        </w:rPr>
        <w:t>er</w:t>
      </w:r>
      <w:r w:rsidR="00FC736B" w:rsidRPr="00143AD2">
        <w:rPr>
          <w:rFonts w:ascii="Times New Roman" w:hAnsi="Times New Roman" w:cs="Times New Roman"/>
          <w:sz w:val="24"/>
          <w:szCs w:val="24"/>
        </w:rPr>
        <w:t xml:space="preserve">s could be seen as being in a period of transition </w:t>
      </w:r>
      <w:r w:rsidR="00143AD2">
        <w:rPr>
          <w:rFonts w:ascii="Times New Roman" w:hAnsi="Times New Roman" w:cs="Times New Roman"/>
          <w:sz w:val="24"/>
          <w:szCs w:val="24"/>
        </w:rPr>
        <w:t xml:space="preserve">from active farming </w:t>
      </w:r>
      <w:r w:rsidR="00FC736B" w:rsidRPr="00143AD2">
        <w:rPr>
          <w:rFonts w:ascii="Times New Roman" w:hAnsi="Times New Roman" w:cs="Times New Roman"/>
          <w:sz w:val="24"/>
          <w:szCs w:val="24"/>
        </w:rPr>
        <w:t xml:space="preserve">towards </w:t>
      </w:r>
      <w:r w:rsidR="00143AD2">
        <w:rPr>
          <w:rFonts w:ascii="Times New Roman" w:hAnsi="Times New Roman" w:cs="Times New Roman"/>
          <w:sz w:val="24"/>
          <w:szCs w:val="24"/>
        </w:rPr>
        <w:t>retirement and farm transfer; whether through sale, long-term leasing or transfer to a family member.  However, the number of such farms has not shown any significant change over the last decade.</w:t>
      </w:r>
    </w:p>
    <w:p w:rsidR="00143AD2" w:rsidRPr="00143AD2" w:rsidRDefault="00143AD2" w:rsidP="00143AD2">
      <w:pPr>
        <w:spacing w:after="0" w:line="360" w:lineRule="auto"/>
        <w:rPr>
          <w:rFonts w:ascii="Times New Roman" w:hAnsi="Times New Roman" w:cs="Times New Roman"/>
          <w:sz w:val="24"/>
          <w:szCs w:val="24"/>
        </w:rPr>
      </w:pPr>
    </w:p>
    <w:p w:rsidR="00E26316" w:rsidRPr="001C01EA" w:rsidRDefault="00E26316" w:rsidP="009339E0">
      <w:pPr>
        <w:pStyle w:val="Heading2"/>
      </w:pPr>
      <w:bookmarkStart w:id="18" w:name="_Toc399850325"/>
      <w:r w:rsidRPr="001C01EA">
        <w:t>Farms outside NFS</w:t>
      </w:r>
      <w:bookmarkEnd w:id="18"/>
    </w:p>
    <w:p w:rsidR="00E26316" w:rsidRPr="001C01EA" w:rsidRDefault="00E26316" w:rsidP="001C01EA">
      <w:pPr>
        <w:spacing w:after="0" w:line="360" w:lineRule="auto"/>
        <w:rPr>
          <w:rFonts w:ascii="Times New Roman" w:hAnsi="Times New Roman" w:cs="Times New Roman"/>
          <w:sz w:val="24"/>
          <w:szCs w:val="24"/>
        </w:rPr>
      </w:pPr>
      <w:r w:rsidRPr="001C01EA">
        <w:rPr>
          <w:rFonts w:ascii="Times New Roman" w:hAnsi="Times New Roman" w:cs="Times New Roman"/>
          <w:sz w:val="24"/>
          <w:szCs w:val="24"/>
        </w:rPr>
        <w:t>Less information is available about farms outside the National Farm Survey</w:t>
      </w:r>
      <w:r w:rsidR="00333774" w:rsidRPr="001C01EA">
        <w:rPr>
          <w:rFonts w:ascii="Times New Roman" w:hAnsi="Times New Roman" w:cs="Times New Roman"/>
          <w:sz w:val="24"/>
          <w:szCs w:val="24"/>
        </w:rPr>
        <w:t xml:space="preserve"> definitions, but some analysis has been carried o</w:t>
      </w:r>
      <w:r w:rsidR="00143AD2">
        <w:rPr>
          <w:rFonts w:ascii="Times New Roman" w:hAnsi="Times New Roman" w:cs="Times New Roman"/>
          <w:sz w:val="24"/>
          <w:szCs w:val="24"/>
        </w:rPr>
        <w:t xml:space="preserve">ut based on </w:t>
      </w:r>
      <w:r w:rsidR="009322B5">
        <w:rPr>
          <w:rFonts w:ascii="Times New Roman" w:hAnsi="Times New Roman" w:cs="Times New Roman"/>
          <w:sz w:val="24"/>
          <w:szCs w:val="24"/>
        </w:rPr>
        <w:t xml:space="preserve">Department of Agriculture, </w:t>
      </w:r>
      <w:r w:rsidR="009378BB">
        <w:rPr>
          <w:rFonts w:ascii="Times New Roman" w:hAnsi="Times New Roman" w:cs="Times New Roman"/>
          <w:sz w:val="24"/>
          <w:szCs w:val="24"/>
        </w:rPr>
        <w:t>Food and the Marine</w:t>
      </w:r>
      <w:r w:rsidR="009322B5">
        <w:rPr>
          <w:rFonts w:ascii="Times New Roman" w:hAnsi="Times New Roman" w:cs="Times New Roman"/>
          <w:sz w:val="24"/>
          <w:szCs w:val="24"/>
        </w:rPr>
        <w:t xml:space="preserve"> (</w:t>
      </w:r>
      <w:r w:rsidR="00143AD2">
        <w:rPr>
          <w:rFonts w:ascii="Times New Roman" w:hAnsi="Times New Roman" w:cs="Times New Roman"/>
          <w:sz w:val="24"/>
          <w:szCs w:val="24"/>
        </w:rPr>
        <w:t>DAFM</w:t>
      </w:r>
      <w:r w:rsidR="009322B5">
        <w:rPr>
          <w:rFonts w:ascii="Times New Roman" w:hAnsi="Times New Roman" w:cs="Times New Roman"/>
          <w:sz w:val="24"/>
          <w:szCs w:val="24"/>
        </w:rPr>
        <w:t>)</w:t>
      </w:r>
      <w:r w:rsidR="00143AD2">
        <w:rPr>
          <w:rFonts w:ascii="Times New Roman" w:hAnsi="Times New Roman" w:cs="Times New Roman"/>
          <w:sz w:val="24"/>
          <w:szCs w:val="24"/>
        </w:rPr>
        <w:t xml:space="preserve"> databases:</w:t>
      </w:r>
    </w:p>
    <w:p w:rsidR="00333774" w:rsidRPr="001C01EA" w:rsidRDefault="00333774" w:rsidP="009339E0">
      <w:pPr>
        <w:pStyle w:val="ListParagraph"/>
        <w:numPr>
          <w:ilvl w:val="0"/>
          <w:numId w:val="2"/>
        </w:numPr>
        <w:spacing w:after="0" w:line="360" w:lineRule="auto"/>
        <w:rPr>
          <w:rFonts w:ascii="Times New Roman" w:hAnsi="Times New Roman" w:cs="Times New Roman"/>
          <w:sz w:val="24"/>
          <w:szCs w:val="24"/>
        </w:rPr>
      </w:pPr>
      <w:r w:rsidRPr="001C01EA">
        <w:rPr>
          <w:rFonts w:ascii="Times New Roman" w:hAnsi="Times New Roman" w:cs="Times New Roman"/>
          <w:sz w:val="24"/>
          <w:szCs w:val="24"/>
        </w:rPr>
        <w:t xml:space="preserve">There are around </w:t>
      </w:r>
      <w:r w:rsidRPr="00143AD2">
        <w:rPr>
          <w:rFonts w:ascii="Times New Roman" w:hAnsi="Times New Roman" w:cs="Times New Roman"/>
          <w:b/>
          <w:sz w:val="24"/>
          <w:szCs w:val="24"/>
        </w:rPr>
        <w:t>2,000 commercial pig</w:t>
      </w:r>
      <w:r w:rsidR="00B53659">
        <w:rPr>
          <w:rFonts w:ascii="Times New Roman" w:hAnsi="Times New Roman" w:cs="Times New Roman"/>
          <w:b/>
          <w:sz w:val="24"/>
          <w:szCs w:val="24"/>
        </w:rPr>
        <w:t xml:space="preserve">, poultry, horticulture and potato </w:t>
      </w:r>
      <w:r w:rsidRPr="00143AD2">
        <w:rPr>
          <w:rFonts w:ascii="Times New Roman" w:hAnsi="Times New Roman" w:cs="Times New Roman"/>
          <w:b/>
          <w:sz w:val="24"/>
          <w:szCs w:val="24"/>
        </w:rPr>
        <w:t>farms</w:t>
      </w:r>
      <w:r w:rsidRPr="001C01EA">
        <w:rPr>
          <w:rFonts w:ascii="Times New Roman" w:hAnsi="Times New Roman" w:cs="Times New Roman"/>
          <w:sz w:val="24"/>
          <w:szCs w:val="24"/>
        </w:rPr>
        <w:t xml:space="preserve">, which are not covered by the National Farm Survey.  These farms have a very commercial focus and can be assumed to be viable. </w:t>
      </w:r>
    </w:p>
    <w:p w:rsidR="00E26316" w:rsidRPr="0041250C" w:rsidRDefault="00333774" w:rsidP="009339E0">
      <w:pPr>
        <w:pStyle w:val="ListParagraph"/>
        <w:numPr>
          <w:ilvl w:val="0"/>
          <w:numId w:val="2"/>
        </w:numPr>
        <w:spacing w:after="0" w:line="360" w:lineRule="auto"/>
        <w:rPr>
          <w:rFonts w:ascii="Times New Roman" w:hAnsi="Times New Roman" w:cs="Times New Roman"/>
        </w:rPr>
      </w:pPr>
      <w:r w:rsidRPr="0041250C">
        <w:rPr>
          <w:rFonts w:ascii="Times New Roman" w:hAnsi="Times New Roman" w:cs="Times New Roman"/>
          <w:sz w:val="24"/>
          <w:szCs w:val="24"/>
        </w:rPr>
        <w:t xml:space="preserve">Around </w:t>
      </w:r>
      <w:r w:rsidRPr="0041250C">
        <w:rPr>
          <w:rFonts w:ascii="Times New Roman" w:hAnsi="Times New Roman" w:cs="Times New Roman"/>
          <w:b/>
          <w:sz w:val="24"/>
          <w:szCs w:val="24"/>
        </w:rPr>
        <w:t>50,000 farms are ‘small’ in economic terms</w:t>
      </w:r>
      <w:r w:rsidRPr="0041250C">
        <w:rPr>
          <w:rFonts w:ascii="Times New Roman" w:hAnsi="Times New Roman" w:cs="Times New Roman"/>
          <w:sz w:val="24"/>
          <w:szCs w:val="24"/>
        </w:rPr>
        <w:t xml:space="preserve">: their standard output is less than €8,000 </w:t>
      </w:r>
      <w:r w:rsidR="00162DAD" w:rsidRPr="0041250C">
        <w:rPr>
          <w:rFonts w:ascii="Times New Roman" w:hAnsi="Times New Roman" w:cs="Times New Roman"/>
          <w:sz w:val="24"/>
          <w:szCs w:val="24"/>
        </w:rPr>
        <w:t>a year</w:t>
      </w:r>
      <w:r w:rsidR="00772788">
        <w:rPr>
          <w:rFonts w:ascii="Times New Roman" w:hAnsi="Times New Roman" w:cs="Times New Roman"/>
          <w:sz w:val="24"/>
          <w:szCs w:val="24"/>
        </w:rPr>
        <w:t>.</w:t>
      </w:r>
      <w:r w:rsidR="00162DAD" w:rsidRPr="0041250C">
        <w:rPr>
          <w:rFonts w:ascii="Times New Roman" w:hAnsi="Times New Roman" w:cs="Times New Roman"/>
          <w:sz w:val="24"/>
          <w:szCs w:val="24"/>
        </w:rPr>
        <w:t xml:space="preserve"> </w:t>
      </w:r>
      <w:r w:rsidR="00143AD2" w:rsidRPr="0041250C">
        <w:rPr>
          <w:rFonts w:ascii="Times New Roman" w:hAnsi="Times New Roman" w:cs="Times New Roman"/>
          <w:sz w:val="24"/>
          <w:szCs w:val="24"/>
        </w:rPr>
        <w:t xml:space="preserve">Some data is available on these farms as they are in receipt of DAFM direct payments, but </w:t>
      </w:r>
      <w:r w:rsidR="0041250C" w:rsidRPr="0041250C">
        <w:rPr>
          <w:rFonts w:ascii="Times New Roman" w:hAnsi="Times New Roman" w:cs="Times New Roman"/>
          <w:sz w:val="24"/>
          <w:szCs w:val="24"/>
        </w:rPr>
        <w:t>no i</w:t>
      </w:r>
      <w:r w:rsidR="00143AD2" w:rsidRPr="0041250C">
        <w:rPr>
          <w:rFonts w:ascii="Times New Roman" w:hAnsi="Times New Roman" w:cs="Times New Roman"/>
          <w:sz w:val="24"/>
          <w:szCs w:val="24"/>
        </w:rPr>
        <w:t xml:space="preserve">nformation is available on their </w:t>
      </w:r>
      <w:r w:rsidR="0041250C" w:rsidRPr="0041250C">
        <w:rPr>
          <w:rFonts w:ascii="Times New Roman" w:hAnsi="Times New Roman" w:cs="Times New Roman"/>
          <w:sz w:val="24"/>
          <w:szCs w:val="24"/>
        </w:rPr>
        <w:t xml:space="preserve">input costs or farm income. </w:t>
      </w:r>
      <w:r w:rsidR="0041250C">
        <w:rPr>
          <w:rFonts w:ascii="Times New Roman" w:hAnsi="Times New Roman" w:cs="Times New Roman"/>
          <w:sz w:val="24"/>
          <w:szCs w:val="24"/>
        </w:rPr>
        <w:t xml:space="preserve">Their </w:t>
      </w:r>
      <w:r w:rsidRPr="0041250C">
        <w:rPr>
          <w:rFonts w:ascii="Times New Roman" w:hAnsi="Times New Roman" w:cs="Times New Roman"/>
          <w:sz w:val="24"/>
          <w:szCs w:val="24"/>
        </w:rPr>
        <w:t>average farm size is 19 hectares</w:t>
      </w:r>
      <w:r w:rsidR="0041250C">
        <w:rPr>
          <w:rFonts w:ascii="Times New Roman" w:hAnsi="Times New Roman" w:cs="Times New Roman"/>
          <w:sz w:val="24"/>
          <w:szCs w:val="24"/>
        </w:rPr>
        <w:t>, and o</w:t>
      </w:r>
      <w:r w:rsidR="00162DAD" w:rsidRPr="0041250C">
        <w:rPr>
          <w:rFonts w:ascii="Times New Roman" w:hAnsi="Times New Roman" w:cs="Times New Roman"/>
          <w:sz w:val="24"/>
          <w:szCs w:val="24"/>
        </w:rPr>
        <w:t xml:space="preserve">ver 80% of these farms are </w:t>
      </w:r>
      <w:r w:rsidR="00143AD2" w:rsidRPr="0041250C">
        <w:rPr>
          <w:rFonts w:ascii="Times New Roman" w:hAnsi="Times New Roman" w:cs="Times New Roman"/>
          <w:sz w:val="24"/>
          <w:szCs w:val="24"/>
        </w:rPr>
        <w:t xml:space="preserve">drystock farms, mainly cattle. </w:t>
      </w:r>
      <w:r w:rsidR="00427A79">
        <w:rPr>
          <w:rFonts w:ascii="Times New Roman" w:hAnsi="Times New Roman" w:cs="Times New Roman"/>
          <w:sz w:val="24"/>
          <w:szCs w:val="24"/>
        </w:rPr>
        <w:t xml:space="preserve">They have a low average stocking density of 0.52 livestock units per hectare. </w:t>
      </w:r>
      <w:r w:rsidR="00162DAD" w:rsidRPr="0041250C">
        <w:rPr>
          <w:rFonts w:ascii="Times New Roman" w:hAnsi="Times New Roman" w:cs="Times New Roman"/>
          <w:sz w:val="24"/>
          <w:szCs w:val="24"/>
        </w:rPr>
        <w:t xml:space="preserve">Although small </w:t>
      </w:r>
      <w:r w:rsidR="00143AD2" w:rsidRPr="0041250C">
        <w:rPr>
          <w:rFonts w:ascii="Times New Roman" w:hAnsi="Times New Roman" w:cs="Times New Roman"/>
          <w:sz w:val="24"/>
          <w:szCs w:val="24"/>
        </w:rPr>
        <w:t xml:space="preserve">in scale </w:t>
      </w:r>
      <w:r w:rsidR="00162DAD" w:rsidRPr="0041250C">
        <w:rPr>
          <w:rFonts w:ascii="Times New Roman" w:hAnsi="Times New Roman" w:cs="Times New Roman"/>
          <w:sz w:val="24"/>
          <w:szCs w:val="24"/>
        </w:rPr>
        <w:t xml:space="preserve">individually, </w:t>
      </w:r>
      <w:r w:rsidR="00143AD2" w:rsidRPr="0041250C">
        <w:rPr>
          <w:rFonts w:ascii="Times New Roman" w:hAnsi="Times New Roman" w:cs="Times New Roman"/>
          <w:sz w:val="24"/>
          <w:szCs w:val="24"/>
        </w:rPr>
        <w:t xml:space="preserve">and contributing very little to total agricultural output, such </w:t>
      </w:r>
      <w:r w:rsidRPr="0041250C">
        <w:rPr>
          <w:rFonts w:ascii="Times New Roman" w:hAnsi="Times New Roman" w:cs="Times New Roman"/>
          <w:sz w:val="24"/>
          <w:szCs w:val="24"/>
        </w:rPr>
        <w:t xml:space="preserve">farms account for </w:t>
      </w:r>
      <w:r w:rsidR="00162DAD" w:rsidRPr="0041250C">
        <w:rPr>
          <w:rFonts w:ascii="Times New Roman" w:hAnsi="Times New Roman" w:cs="Times New Roman"/>
          <w:sz w:val="24"/>
          <w:szCs w:val="24"/>
        </w:rPr>
        <w:t>almost 850,000</w:t>
      </w:r>
      <w:r w:rsidRPr="0041250C">
        <w:rPr>
          <w:rFonts w:ascii="Times New Roman" w:hAnsi="Times New Roman" w:cs="Times New Roman"/>
          <w:sz w:val="24"/>
          <w:szCs w:val="24"/>
        </w:rPr>
        <w:t xml:space="preserve"> hectares of agricultural </w:t>
      </w:r>
      <w:r w:rsidR="00162DAD" w:rsidRPr="0041250C">
        <w:rPr>
          <w:rFonts w:ascii="Times New Roman" w:hAnsi="Times New Roman" w:cs="Times New Roman"/>
          <w:sz w:val="24"/>
          <w:szCs w:val="24"/>
        </w:rPr>
        <w:t>land</w:t>
      </w:r>
      <w:r w:rsidR="00143AD2" w:rsidRPr="0041250C">
        <w:rPr>
          <w:rFonts w:ascii="Times New Roman" w:hAnsi="Times New Roman" w:cs="Times New Roman"/>
          <w:sz w:val="24"/>
          <w:szCs w:val="24"/>
        </w:rPr>
        <w:t xml:space="preserve">, and 436,000 livestock units. </w:t>
      </w:r>
      <w:r w:rsidR="00503CDA">
        <w:rPr>
          <w:rFonts w:ascii="Times New Roman" w:hAnsi="Times New Roman" w:cs="Times New Roman"/>
          <w:sz w:val="24"/>
          <w:szCs w:val="24"/>
        </w:rPr>
        <w:t>(Details in Appendix Table C).</w:t>
      </w:r>
    </w:p>
    <w:p w:rsidR="0041250C" w:rsidRPr="0041250C" w:rsidRDefault="0041250C" w:rsidP="009339E0">
      <w:pPr>
        <w:pStyle w:val="ListParagraph"/>
        <w:numPr>
          <w:ilvl w:val="0"/>
          <w:numId w:val="2"/>
        </w:numPr>
        <w:spacing w:after="0" w:line="360" w:lineRule="auto"/>
        <w:rPr>
          <w:rFonts w:ascii="Times New Roman" w:hAnsi="Times New Roman" w:cs="Times New Roman"/>
        </w:rPr>
      </w:pPr>
      <w:r>
        <w:rPr>
          <w:rFonts w:ascii="Times New Roman" w:hAnsi="Times New Roman" w:cs="Times New Roman"/>
          <w:sz w:val="24"/>
          <w:szCs w:val="24"/>
        </w:rPr>
        <w:t xml:space="preserve">Little information is available on a further </w:t>
      </w:r>
      <w:r w:rsidRPr="0041250C">
        <w:rPr>
          <w:rFonts w:ascii="Times New Roman" w:hAnsi="Times New Roman" w:cs="Times New Roman"/>
          <w:b/>
          <w:sz w:val="24"/>
          <w:szCs w:val="24"/>
        </w:rPr>
        <w:t>8,000 ‘micro’ farms</w:t>
      </w:r>
      <w:r>
        <w:rPr>
          <w:rFonts w:ascii="Times New Roman" w:hAnsi="Times New Roman" w:cs="Times New Roman"/>
          <w:sz w:val="24"/>
          <w:szCs w:val="24"/>
        </w:rPr>
        <w:t>, not in receipts of direct payments. It is assumed that most of these are very small-scale or ‘hobby’ farms.</w:t>
      </w:r>
    </w:p>
    <w:p w:rsidR="0041250C" w:rsidRDefault="00F82893" w:rsidP="00974C5F">
      <w:pPr>
        <w:pStyle w:val="Heading3"/>
      </w:pPr>
      <w:r>
        <w:rPr>
          <w:sz w:val="20"/>
          <w:szCs w:val="20"/>
        </w:rPr>
        <w:br w:type="page"/>
      </w:r>
      <w:bookmarkStart w:id="19" w:name="_Toc399850326"/>
      <w:r w:rsidR="0041250C" w:rsidRPr="00EB4A2C">
        <w:lastRenderedPageBreak/>
        <w:t>Farm numbers by viability category</w:t>
      </w:r>
      <w:bookmarkEnd w:id="19"/>
    </w:p>
    <w:p w:rsidR="00E3523A" w:rsidRPr="00E3523A" w:rsidRDefault="00E3523A" w:rsidP="00E3523A"/>
    <w:p w:rsidR="00E3523A" w:rsidRPr="00E3523A" w:rsidRDefault="00E3523A" w:rsidP="00E3523A">
      <w:r>
        <w:rPr>
          <w:noProof/>
          <w:lang w:eastAsia="en-IE"/>
        </w:rPr>
        <w:drawing>
          <wp:inline distT="0" distB="0" distL="0" distR="0">
            <wp:extent cx="5243195" cy="4383405"/>
            <wp:effectExtent l="19050" t="19050" r="14605" b="171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3195" cy="4383405"/>
                    </a:xfrm>
                    <a:prstGeom prst="rect">
                      <a:avLst/>
                    </a:prstGeom>
                    <a:noFill/>
                    <a:ln>
                      <a:solidFill>
                        <a:schemeClr val="accent1"/>
                      </a:solidFill>
                    </a:ln>
                  </pic:spPr>
                </pic:pic>
              </a:graphicData>
            </a:graphic>
          </wp:inline>
        </w:drawing>
      </w:r>
    </w:p>
    <w:p w:rsidR="00E3523A" w:rsidRPr="00E3523A" w:rsidRDefault="00E3523A" w:rsidP="00E3523A"/>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 xml:space="preserve">National Farm Survey: represents farms with a standard output of &gt;€8,000 a year, excluding pig and poultry farms. Standard </w:t>
      </w:r>
      <w:r w:rsidR="00F84BA9">
        <w:rPr>
          <w:rFonts w:ascii="Times New Roman" w:hAnsi="Times New Roman" w:cs="Times New Roman"/>
          <w:sz w:val="18"/>
          <w:szCs w:val="18"/>
        </w:rPr>
        <w:t>O</w:t>
      </w:r>
      <w:r w:rsidRPr="003E75DA">
        <w:rPr>
          <w:rFonts w:ascii="Times New Roman" w:hAnsi="Times New Roman" w:cs="Times New Roman"/>
          <w:sz w:val="18"/>
          <w:szCs w:val="18"/>
        </w:rPr>
        <w:t>utput</w:t>
      </w:r>
      <w:r w:rsidR="00F84BA9">
        <w:rPr>
          <w:rFonts w:ascii="Times New Roman" w:hAnsi="Times New Roman" w:cs="Times New Roman"/>
          <w:sz w:val="18"/>
          <w:szCs w:val="18"/>
        </w:rPr>
        <w:t xml:space="preserve"> (SO)</w:t>
      </w:r>
      <w:r w:rsidRPr="003E75DA">
        <w:rPr>
          <w:rFonts w:ascii="Times New Roman" w:hAnsi="Times New Roman" w:cs="Times New Roman"/>
          <w:sz w:val="18"/>
          <w:szCs w:val="18"/>
        </w:rPr>
        <w:t xml:space="preserve"> is the average monetary value of the agricultural output at farm-gate price. The SO excludes direct payments, VAT and taxes on products.</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Viable: family farm income can remunerate family labour at the average agricultural wage, and provide a 5% return on non-land assets</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 xml:space="preserve">Sustainable: not economically ‘viable’ on the basis of their farm income from farming, but sustainable due to off-farm employment </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Vulnerable: not economically viable and with no off-farm income</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Small:  standard output is less than €8,000 a year; not covered by NFS but some data available from DAFM databases.</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Pigs/poultry</w:t>
      </w:r>
      <w:r w:rsidR="00503CDA">
        <w:rPr>
          <w:rFonts w:ascii="Times New Roman" w:hAnsi="Times New Roman" w:cs="Times New Roman"/>
          <w:sz w:val="18"/>
          <w:szCs w:val="18"/>
        </w:rPr>
        <w:t>/horticulture/potatoes</w:t>
      </w:r>
      <w:r w:rsidRPr="003E75DA">
        <w:rPr>
          <w:rFonts w:ascii="Times New Roman" w:hAnsi="Times New Roman" w:cs="Times New Roman"/>
          <w:sz w:val="18"/>
          <w:szCs w:val="18"/>
        </w:rPr>
        <w:t>: commercial farms, but not covered by NFS.</w:t>
      </w:r>
    </w:p>
    <w:p w:rsidR="00772788" w:rsidRPr="003E75DA" w:rsidRDefault="00772788" w:rsidP="009339E0">
      <w:pPr>
        <w:pStyle w:val="FootnoteText"/>
        <w:numPr>
          <w:ilvl w:val="0"/>
          <w:numId w:val="3"/>
        </w:numPr>
        <w:rPr>
          <w:rFonts w:ascii="Times New Roman" w:hAnsi="Times New Roman" w:cs="Times New Roman"/>
          <w:sz w:val="18"/>
          <w:szCs w:val="18"/>
        </w:rPr>
      </w:pPr>
      <w:r w:rsidRPr="003E75DA">
        <w:rPr>
          <w:rFonts w:ascii="Times New Roman" w:hAnsi="Times New Roman" w:cs="Times New Roman"/>
          <w:sz w:val="18"/>
          <w:szCs w:val="18"/>
        </w:rPr>
        <w:t>Micro: little data available</w:t>
      </w:r>
    </w:p>
    <w:p w:rsidR="00772788" w:rsidRDefault="00772788" w:rsidP="00772788">
      <w:pPr>
        <w:pStyle w:val="FootnoteText"/>
        <w:rPr>
          <w:rFonts w:ascii="Times New Roman" w:hAnsi="Times New Roman" w:cs="Times New Roman"/>
        </w:rPr>
      </w:pPr>
    </w:p>
    <w:p w:rsidR="003E75DA" w:rsidRPr="00772788" w:rsidRDefault="003E75DA" w:rsidP="00772788">
      <w:pPr>
        <w:pStyle w:val="FootnoteText"/>
        <w:rPr>
          <w:rFonts w:ascii="Times New Roman" w:hAnsi="Times New Roman" w:cs="Times New Roman"/>
        </w:rPr>
      </w:pPr>
    </w:p>
    <w:p w:rsidR="00EB4A2C" w:rsidRPr="002A5CF5" w:rsidRDefault="002A5CF5">
      <w:pPr>
        <w:rPr>
          <w:rFonts w:ascii="Times New Roman" w:hAnsi="Times New Roman" w:cs="Times New Roman"/>
          <w:b/>
          <w:sz w:val="24"/>
          <w:szCs w:val="24"/>
        </w:rPr>
      </w:pPr>
      <w:r w:rsidRPr="002A5CF5">
        <w:rPr>
          <w:rFonts w:ascii="Times New Roman" w:hAnsi="Times New Roman" w:cs="Times New Roman"/>
          <w:b/>
          <w:sz w:val="24"/>
          <w:szCs w:val="24"/>
        </w:rPr>
        <w:t>The following charts show the breakdown of these categories by farm system.</w:t>
      </w:r>
      <w:r w:rsidR="00EB4A2C" w:rsidRPr="002A5CF5">
        <w:rPr>
          <w:rFonts w:ascii="Times New Roman" w:hAnsi="Times New Roman" w:cs="Times New Roman"/>
          <w:b/>
          <w:sz w:val="24"/>
          <w:szCs w:val="24"/>
        </w:rPr>
        <w:br w:type="page"/>
      </w:r>
    </w:p>
    <w:p w:rsidR="002A5CF5" w:rsidRDefault="002A5CF5" w:rsidP="008825F0">
      <w:pPr>
        <w:pStyle w:val="Heading3"/>
      </w:pPr>
      <w:r>
        <w:lastRenderedPageBreak/>
        <w:t>‘Viable’ farms</w:t>
      </w:r>
      <w:r w:rsidR="008825F0">
        <w:t xml:space="preserve"> by farm type</w:t>
      </w:r>
    </w:p>
    <w:p w:rsidR="002A5CF5" w:rsidRDefault="008825F0">
      <w:r>
        <w:rPr>
          <w:noProof/>
          <w:lang w:eastAsia="en-IE"/>
        </w:rPr>
        <w:drawing>
          <wp:inline distT="0" distB="0" distL="0" distR="0">
            <wp:extent cx="4980834" cy="3257550"/>
            <wp:effectExtent l="19050" t="19050" r="1079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89021" cy="3262905"/>
                    </a:xfrm>
                    <a:prstGeom prst="rect">
                      <a:avLst/>
                    </a:prstGeom>
                    <a:noFill/>
                    <a:ln>
                      <a:solidFill>
                        <a:schemeClr val="accent1"/>
                      </a:solidFill>
                    </a:ln>
                  </pic:spPr>
                </pic:pic>
              </a:graphicData>
            </a:graphic>
          </wp:inline>
        </w:drawing>
      </w:r>
    </w:p>
    <w:p w:rsidR="008825F0" w:rsidRDefault="008825F0"/>
    <w:p w:rsidR="002A5CF5" w:rsidRDefault="002A5CF5" w:rsidP="008825F0">
      <w:pPr>
        <w:pStyle w:val="Heading3"/>
      </w:pPr>
      <w:r>
        <w:t>‘Sustainable’ farms</w:t>
      </w:r>
    </w:p>
    <w:p w:rsidR="008825F0" w:rsidRPr="008825F0" w:rsidRDefault="008825F0" w:rsidP="008825F0">
      <w:r>
        <w:rPr>
          <w:noProof/>
          <w:lang w:eastAsia="en-IE"/>
        </w:rPr>
        <w:drawing>
          <wp:inline distT="0" distB="0" distL="0" distR="0">
            <wp:extent cx="5009963" cy="3276600"/>
            <wp:effectExtent l="19050" t="19050" r="19685"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0838" cy="3283713"/>
                    </a:xfrm>
                    <a:prstGeom prst="rect">
                      <a:avLst/>
                    </a:prstGeom>
                    <a:noFill/>
                    <a:ln>
                      <a:solidFill>
                        <a:schemeClr val="accent1"/>
                      </a:solidFill>
                    </a:ln>
                  </pic:spPr>
                </pic:pic>
              </a:graphicData>
            </a:graphic>
          </wp:inline>
        </w:drawing>
      </w:r>
    </w:p>
    <w:p w:rsidR="008825F0" w:rsidRDefault="008825F0">
      <w:r>
        <w:br w:type="page"/>
      </w:r>
    </w:p>
    <w:p w:rsidR="002A5CF5" w:rsidRDefault="002A5CF5"/>
    <w:p w:rsidR="002A5CF5" w:rsidRDefault="008825F0" w:rsidP="008825F0">
      <w:pPr>
        <w:pStyle w:val="Heading3"/>
      </w:pPr>
      <w:r>
        <w:t>‘Vulnerable farms’</w:t>
      </w:r>
    </w:p>
    <w:p w:rsidR="002A5CF5" w:rsidRDefault="008825F0">
      <w:pPr>
        <w:rPr>
          <w:rFonts w:ascii="Times New Roman" w:hAnsi="Times New Roman"/>
          <w:b/>
          <w:i/>
          <w:color w:val="2E74B5" w:themeColor="accent1" w:themeShade="BF"/>
          <w:spacing w:val="5"/>
          <w:sz w:val="24"/>
          <w:szCs w:val="24"/>
        </w:rPr>
      </w:pPr>
      <w:r>
        <w:rPr>
          <w:rFonts w:ascii="Times New Roman" w:hAnsi="Times New Roman"/>
          <w:b/>
          <w:i/>
          <w:noProof/>
          <w:color w:val="2E74B5" w:themeColor="accent1" w:themeShade="BF"/>
          <w:spacing w:val="5"/>
          <w:sz w:val="24"/>
          <w:szCs w:val="24"/>
          <w:lang w:eastAsia="en-IE"/>
        </w:rPr>
        <w:drawing>
          <wp:inline distT="0" distB="0" distL="0" distR="0">
            <wp:extent cx="5126476" cy="3352800"/>
            <wp:effectExtent l="19050" t="19050" r="17145" b="190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9974" cy="3361628"/>
                    </a:xfrm>
                    <a:prstGeom prst="rect">
                      <a:avLst/>
                    </a:prstGeom>
                    <a:noFill/>
                    <a:ln>
                      <a:solidFill>
                        <a:schemeClr val="accent1"/>
                      </a:solidFill>
                    </a:ln>
                  </pic:spPr>
                </pic:pic>
              </a:graphicData>
            </a:graphic>
          </wp:inline>
        </w:drawing>
      </w:r>
    </w:p>
    <w:p w:rsidR="008825F0" w:rsidRDefault="008825F0" w:rsidP="008825F0">
      <w:pPr>
        <w:pStyle w:val="Heading3"/>
        <w:numPr>
          <w:ilvl w:val="0"/>
          <w:numId w:val="0"/>
        </w:numPr>
        <w:ind w:left="360"/>
      </w:pPr>
    </w:p>
    <w:p w:rsidR="001400BB" w:rsidRDefault="001400BB" w:rsidP="00974C5F">
      <w:pPr>
        <w:pStyle w:val="Heading3"/>
      </w:pPr>
      <w:r w:rsidRPr="00EB4A2C">
        <w:t xml:space="preserve"> </w:t>
      </w:r>
      <w:bookmarkStart w:id="20" w:name="_Toc399850328"/>
      <w:r w:rsidRPr="00EB4A2C">
        <w:t>‘Small’ farms by farm type</w:t>
      </w:r>
      <w:bookmarkEnd w:id="20"/>
    </w:p>
    <w:p w:rsidR="008825F0" w:rsidRDefault="008825F0" w:rsidP="008825F0">
      <w:r>
        <w:rPr>
          <w:noProof/>
          <w:lang w:eastAsia="en-IE"/>
        </w:rPr>
        <w:drawing>
          <wp:inline distT="0" distB="0" distL="0" distR="0">
            <wp:extent cx="5029200" cy="3289182"/>
            <wp:effectExtent l="19050" t="19050" r="19050" b="260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54886" cy="3305981"/>
                    </a:xfrm>
                    <a:prstGeom prst="rect">
                      <a:avLst/>
                    </a:prstGeom>
                    <a:noFill/>
                    <a:ln>
                      <a:solidFill>
                        <a:schemeClr val="accent1"/>
                      </a:solidFill>
                    </a:ln>
                  </pic:spPr>
                </pic:pic>
              </a:graphicData>
            </a:graphic>
          </wp:inline>
        </w:drawing>
      </w:r>
    </w:p>
    <w:p w:rsidR="004241B5" w:rsidRDefault="004241B5" w:rsidP="001400BB">
      <w:pPr>
        <w:rPr>
          <w:rFonts w:ascii="Times New Roman" w:hAnsi="Times New Roman" w:cs="Times New Roman"/>
        </w:rPr>
      </w:pPr>
    </w:p>
    <w:p w:rsidR="003E75DA" w:rsidRDefault="003E75DA">
      <w:pPr>
        <w:rPr>
          <w:rFonts w:ascii="Times New Roman" w:hAnsi="Times New Roman" w:cs="Times New Roman"/>
        </w:rPr>
      </w:pPr>
    </w:p>
    <w:p w:rsidR="003E75DA" w:rsidRDefault="003E75DA">
      <w:pPr>
        <w:rPr>
          <w:rFonts w:ascii="Times New Roman" w:eastAsia="Times New Roman" w:hAnsi="Times New Roman"/>
          <w:b/>
          <w:caps/>
          <w:color w:val="1F4E79" w:themeColor="accent1" w:themeShade="80"/>
          <w:spacing w:val="5"/>
          <w:sz w:val="28"/>
          <w:szCs w:val="28"/>
          <w:u w:color="1F4E79" w:themeColor="accent1" w:themeShade="80"/>
        </w:rPr>
      </w:pPr>
      <w:bookmarkStart w:id="21" w:name="_Toc399850329"/>
      <w:r>
        <w:rPr>
          <w:rFonts w:eastAsia="Times New Roman"/>
        </w:rPr>
        <w:br w:type="page"/>
      </w:r>
    </w:p>
    <w:p w:rsidR="004241B5" w:rsidRPr="00AE7102" w:rsidRDefault="004241B5" w:rsidP="009339E0">
      <w:pPr>
        <w:pStyle w:val="Heading2"/>
        <w:rPr>
          <w:rFonts w:eastAsia="Times New Roman"/>
        </w:rPr>
      </w:pPr>
      <w:r w:rsidRPr="00AE7102">
        <w:rPr>
          <w:rFonts w:eastAsia="Times New Roman"/>
        </w:rPr>
        <w:lastRenderedPageBreak/>
        <w:t>Age Structure</w:t>
      </w:r>
      <w:bookmarkEnd w:id="21"/>
    </w:p>
    <w:p w:rsidR="004241B5" w:rsidRPr="00AE7102" w:rsidRDefault="004241B5" w:rsidP="00974C5F">
      <w:pPr>
        <w:spacing w:after="0" w:line="360" w:lineRule="auto"/>
        <w:rPr>
          <w:rFonts w:ascii="Times New Roman" w:eastAsia="Times New Roman" w:hAnsi="Times New Roman" w:cs="Times New Roman"/>
          <w:sz w:val="24"/>
          <w:szCs w:val="24"/>
        </w:rPr>
      </w:pPr>
      <w:r w:rsidRPr="00AE7102">
        <w:rPr>
          <w:rFonts w:ascii="Times New Roman" w:eastAsia="Times New Roman" w:hAnsi="Times New Roman" w:cs="Times New Roman"/>
          <w:sz w:val="24"/>
          <w:szCs w:val="24"/>
        </w:rPr>
        <w:t xml:space="preserve">An ageing farm population is a problem for many EU countries, including Ireland. According to Eurostat/CSO figures, only 7% of Irish farmers were aged under 35 in 2010, around the EU average; while 25% of Irish farmers were aged 65 or over in 2010, slightly better than the EU average of 30%.  One of the priorities for the new round of </w:t>
      </w:r>
      <w:r w:rsidR="0060546F">
        <w:rPr>
          <w:rFonts w:ascii="Times New Roman" w:eastAsia="Times New Roman" w:hAnsi="Times New Roman" w:cs="Times New Roman"/>
          <w:sz w:val="24"/>
          <w:szCs w:val="24"/>
        </w:rPr>
        <w:t>the Common Agricultural Policy (</w:t>
      </w:r>
      <w:r w:rsidRPr="00AE7102">
        <w:rPr>
          <w:rFonts w:ascii="Times New Roman" w:eastAsia="Times New Roman" w:hAnsi="Times New Roman" w:cs="Times New Roman"/>
          <w:sz w:val="24"/>
          <w:szCs w:val="24"/>
        </w:rPr>
        <w:t>CAP</w:t>
      </w:r>
      <w:r w:rsidR="0060546F">
        <w:rPr>
          <w:rFonts w:ascii="Times New Roman" w:eastAsia="Times New Roman" w:hAnsi="Times New Roman" w:cs="Times New Roman"/>
          <w:sz w:val="24"/>
          <w:szCs w:val="24"/>
        </w:rPr>
        <w:t>)</w:t>
      </w:r>
      <w:r w:rsidRPr="00AE7102">
        <w:rPr>
          <w:rFonts w:ascii="Times New Roman" w:eastAsia="Times New Roman" w:hAnsi="Times New Roman" w:cs="Times New Roman"/>
          <w:sz w:val="24"/>
          <w:szCs w:val="24"/>
        </w:rPr>
        <w:t xml:space="preserve"> reform is to provide new and enhanced support for young farmers in both Pillars of the CAP.</w:t>
      </w:r>
    </w:p>
    <w:p w:rsidR="004241B5" w:rsidRPr="00AE7102" w:rsidRDefault="004241B5" w:rsidP="00974C5F">
      <w:pPr>
        <w:spacing w:after="0" w:line="360" w:lineRule="auto"/>
        <w:rPr>
          <w:rFonts w:ascii="Times New Roman" w:eastAsia="Times New Roman" w:hAnsi="Times New Roman" w:cs="Times New Roman"/>
          <w:sz w:val="24"/>
          <w:szCs w:val="24"/>
        </w:rPr>
      </w:pPr>
    </w:p>
    <w:p w:rsidR="00974C5F" w:rsidRDefault="0086038F" w:rsidP="0086038F">
      <w:pPr>
        <w:spacing w:after="0" w:line="360" w:lineRule="auto"/>
        <w:rPr>
          <w:rFonts w:ascii="Times New Roman" w:eastAsia="Times New Roman" w:hAnsi="Times New Roman" w:cs="Times New Roman"/>
          <w:sz w:val="24"/>
          <w:szCs w:val="24"/>
        </w:rPr>
      </w:pPr>
      <w:r w:rsidRPr="0086038F">
        <w:rPr>
          <w:rFonts w:ascii="Times New Roman" w:eastAsia="Times New Roman" w:hAnsi="Times New Roman" w:cs="Times New Roman"/>
          <w:sz w:val="24"/>
          <w:szCs w:val="24"/>
        </w:rPr>
        <w:t xml:space="preserve">The age profile of farmers </w:t>
      </w:r>
      <w:r>
        <w:rPr>
          <w:rFonts w:ascii="Times New Roman" w:eastAsia="Times New Roman" w:hAnsi="Times New Roman" w:cs="Times New Roman"/>
          <w:sz w:val="24"/>
          <w:szCs w:val="24"/>
        </w:rPr>
        <w:t xml:space="preserve">was analysed </w:t>
      </w:r>
      <w:r w:rsidRPr="0086038F">
        <w:rPr>
          <w:rFonts w:ascii="Times New Roman" w:eastAsia="Times New Roman" w:hAnsi="Times New Roman" w:cs="Times New Roman"/>
          <w:sz w:val="24"/>
          <w:szCs w:val="24"/>
        </w:rPr>
        <w:t xml:space="preserve">using data from </w:t>
      </w:r>
      <w:r>
        <w:rPr>
          <w:rFonts w:ascii="Times New Roman" w:eastAsia="Times New Roman" w:hAnsi="Times New Roman" w:cs="Times New Roman"/>
          <w:sz w:val="24"/>
          <w:szCs w:val="24"/>
        </w:rPr>
        <w:t>DAFM’s</w:t>
      </w:r>
      <w:r w:rsidRPr="0086038F">
        <w:rPr>
          <w:rFonts w:ascii="Times New Roman" w:eastAsia="Times New Roman" w:hAnsi="Times New Roman" w:cs="Times New Roman"/>
          <w:sz w:val="24"/>
          <w:szCs w:val="24"/>
        </w:rPr>
        <w:t xml:space="preserve"> Corporate Customer System (CCS) for 2012</w:t>
      </w:r>
      <w:r w:rsidR="0054670C">
        <w:rPr>
          <w:rStyle w:val="EndnoteReference"/>
          <w:rFonts w:ascii="Times New Roman" w:eastAsia="Times New Roman" w:hAnsi="Times New Roman" w:cs="Times New Roman"/>
          <w:sz w:val="24"/>
          <w:szCs w:val="24"/>
        </w:rPr>
        <w:endnoteReference w:id="9"/>
      </w:r>
      <w:r w:rsidRPr="0086038F">
        <w:rPr>
          <w:rFonts w:ascii="Times New Roman" w:eastAsia="Times New Roman" w:hAnsi="Times New Roman" w:cs="Times New Roman"/>
          <w:sz w:val="24"/>
          <w:szCs w:val="24"/>
        </w:rPr>
        <w:t xml:space="preserve">. </w:t>
      </w:r>
    </w:p>
    <w:p w:rsidR="0054670C" w:rsidRPr="0086038F" w:rsidRDefault="0054670C" w:rsidP="0086038F">
      <w:pPr>
        <w:spacing w:after="0" w:line="360" w:lineRule="auto"/>
        <w:rPr>
          <w:rFonts w:ascii="Times New Roman" w:eastAsia="Times New Roman" w:hAnsi="Times New Roman" w:cs="Times New Roman"/>
          <w:sz w:val="24"/>
          <w:szCs w:val="24"/>
        </w:rPr>
      </w:pPr>
    </w:p>
    <w:p w:rsidR="0086038F" w:rsidRDefault="0086038F" w:rsidP="0086038F">
      <w:pPr>
        <w:spacing w:after="0" w:line="360" w:lineRule="auto"/>
        <w:rPr>
          <w:rFonts w:ascii="Times New Roman" w:eastAsia="Times New Roman" w:hAnsi="Times New Roman" w:cs="Times New Roman"/>
          <w:sz w:val="24"/>
          <w:szCs w:val="24"/>
        </w:rPr>
      </w:pPr>
      <w:r w:rsidRPr="0086038F">
        <w:rPr>
          <w:rFonts w:ascii="Times New Roman" w:eastAsia="Times New Roman" w:hAnsi="Times New Roman" w:cs="Times New Roman"/>
          <w:sz w:val="24"/>
          <w:szCs w:val="24"/>
        </w:rPr>
        <w:t>123,5</w:t>
      </w:r>
      <w:r w:rsidR="0054670C">
        <w:rPr>
          <w:rFonts w:ascii="Times New Roman" w:eastAsia="Times New Roman" w:hAnsi="Times New Roman" w:cs="Times New Roman"/>
          <w:sz w:val="24"/>
          <w:szCs w:val="24"/>
        </w:rPr>
        <w:t>00</w:t>
      </w:r>
      <w:r w:rsidRPr="0086038F">
        <w:rPr>
          <w:rFonts w:ascii="Times New Roman" w:eastAsia="Times New Roman" w:hAnsi="Times New Roman" w:cs="Times New Roman"/>
          <w:sz w:val="24"/>
          <w:szCs w:val="24"/>
        </w:rPr>
        <w:t xml:space="preserve"> farmers were captured in this analysis and results show that the average age of a farmer is 56. The proportion of farmers under 35 </w:t>
      </w:r>
      <w:r>
        <w:rPr>
          <w:rFonts w:ascii="Times New Roman" w:eastAsia="Times New Roman" w:hAnsi="Times New Roman" w:cs="Times New Roman"/>
          <w:sz w:val="24"/>
          <w:szCs w:val="24"/>
        </w:rPr>
        <w:t xml:space="preserve">is </w:t>
      </w:r>
      <w:r w:rsidRPr="0086038F">
        <w:rPr>
          <w:rFonts w:ascii="Times New Roman" w:eastAsia="Times New Roman" w:hAnsi="Times New Roman" w:cs="Times New Roman"/>
          <w:sz w:val="24"/>
          <w:szCs w:val="24"/>
        </w:rPr>
        <w:t>5.5% (</w:t>
      </w:r>
      <w:r w:rsidR="0054670C">
        <w:rPr>
          <w:rFonts w:ascii="Times New Roman" w:eastAsia="Times New Roman" w:hAnsi="Times New Roman" w:cs="Times New Roman"/>
          <w:sz w:val="24"/>
          <w:szCs w:val="24"/>
        </w:rPr>
        <w:t>6,800</w:t>
      </w:r>
      <w:r w:rsidRPr="0086038F">
        <w:rPr>
          <w:rFonts w:ascii="Times New Roman" w:eastAsia="Times New Roman" w:hAnsi="Times New Roman" w:cs="Times New Roman"/>
          <w:sz w:val="24"/>
          <w:szCs w:val="24"/>
        </w:rPr>
        <w:t xml:space="preserve">) of total farmers </w:t>
      </w:r>
      <w:r w:rsidR="003E75DA">
        <w:rPr>
          <w:rFonts w:ascii="Times New Roman" w:eastAsia="Times New Roman" w:hAnsi="Times New Roman" w:cs="Times New Roman"/>
          <w:sz w:val="24"/>
          <w:szCs w:val="24"/>
        </w:rPr>
        <w:t>–</w:t>
      </w:r>
      <w:r w:rsidR="00503CDA">
        <w:rPr>
          <w:rFonts w:ascii="Times New Roman" w:eastAsia="Times New Roman" w:hAnsi="Times New Roman" w:cs="Times New Roman"/>
          <w:sz w:val="24"/>
          <w:szCs w:val="24"/>
        </w:rPr>
        <w:t xml:space="preserve"> </w:t>
      </w:r>
      <w:r w:rsidRPr="0086038F">
        <w:rPr>
          <w:rFonts w:ascii="Times New Roman" w:eastAsia="Times New Roman" w:hAnsi="Times New Roman" w:cs="Times New Roman"/>
          <w:sz w:val="24"/>
          <w:szCs w:val="24"/>
        </w:rPr>
        <w:t xml:space="preserve">lower than </w:t>
      </w:r>
      <w:r w:rsidR="003E75DA">
        <w:rPr>
          <w:rFonts w:ascii="Times New Roman" w:eastAsia="Times New Roman" w:hAnsi="Times New Roman" w:cs="Times New Roman"/>
          <w:sz w:val="24"/>
          <w:szCs w:val="24"/>
        </w:rPr>
        <w:t>the number of farmers</w:t>
      </w:r>
      <w:r w:rsidRPr="0086038F">
        <w:rPr>
          <w:rFonts w:ascii="Times New Roman" w:eastAsia="Times New Roman" w:hAnsi="Times New Roman" w:cs="Times New Roman"/>
          <w:sz w:val="24"/>
          <w:szCs w:val="24"/>
        </w:rPr>
        <w:t xml:space="preserve"> over 80 (7,</w:t>
      </w:r>
      <w:r w:rsidR="0054670C">
        <w:rPr>
          <w:rFonts w:ascii="Times New Roman" w:eastAsia="Times New Roman" w:hAnsi="Times New Roman" w:cs="Times New Roman"/>
          <w:sz w:val="24"/>
          <w:szCs w:val="24"/>
        </w:rPr>
        <w:t>200</w:t>
      </w:r>
      <w:r w:rsidRPr="0086038F">
        <w:rPr>
          <w:rFonts w:ascii="Times New Roman" w:eastAsia="Times New Roman" w:hAnsi="Times New Roman" w:cs="Times New Roman"/>
          <w:sz w:val="24"/>
          <w:szCs w:val="24"/>
        </w:rPr>
        <w:t xml:space="preserve"> or 5.8% of the total). </w:t>
      </w:r>
      <w:r w:rsidR="003E75DA">
        <w:rPr>
          <w:rFonts w:ascii="Times New Roman" w:eastAsia="Times New Roman" w:hAnsi="Times New Roman" w:cs="Times New Roman"/>
          <w:sz w:val="24"/>
          <w:szCs w:val="24"/>
        </w:rPr>
        <w:t>Almost 29% of farmers (35,500) were over 65.</w:t>
      </w:r>
    </w:p>
    <w:p w:rsidR="00974C5F" w:rsidRDefault="00974C5F" w:rsidP="0086038F">
      <w:pPr>
        <w:spacing w:after="0" w:line="360" w:lineRule="auto"/>
        <w:rPr>
          <w:rFonts w:ascii="Times New Roman" w:eastAsia="Times New Roman" w:hAnsi="Times New Roman" w:cs="Times New Roman"/>
          <w:sz w:val="24"/>
          <w:szCs w:val="24"/>
        </w:rPr>
      </w:pPr>
    </w:p>
    <w:p w:rsidR="00974C5F" w:rsidRPr="0086038F" w:rsidRDefault="00783251" w:rsidP="00783251">
      <w:pPr>
        <w:pStyle w:val="Heading3"/>
        <w:rPr>
          <w:rFonts w:eastAsia="Times New Roman"/>
        </w:rPr>
      </w:pPr>
      <w:bookmarkStart w:id="22" w:name="_Toc399850330"/>
      <w:r>
        <w:rPr>
          <w:rFonts w:eastAsia="Times New Roman"/>
        </w:rPr>
        <w:t>Age structure 2012 (DAFM client database)</w:t>
      </w:r>
      <w:bookmarkEnd w:id="22"/>
    </w:p>
    <w:p w:rsidR="0086038F" w:rsidRPr="0086038F" w:rsidRDefault="00974C5F" w:rsidP="0086038F">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en-IE"/>
        </w:rPr>
        <w:drawing>
          <wp:inline distT="0" distB="0" distL="0" distR="0">
            <wp:extent cx="5009962" cy="327660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14922" cy="3279844"/>
                    </a:xfrm>
                    <a:prstGeom prst="rect">
                      <a:avLst/>
                    </a:prstGeom>
                    <a:noFill/>
                  </pic:spPr>
                </pic:pic>
              </a:graphicData>
            </a:graphic>
          </wp:inline>
        </w:drawing>
      </w:r>
    </w:p>
    <w:p w:rsidR="0086038F" w:rsidRDefault="0086038F" w:rsidP="0086038F">
      <w:pPr>
        <w:spacing w:after="0" w:line="240" w:lineRule="auto"/>
        <w:rPr>
          <w:rFonts w:ascii="Times New Roman" w:eastAsia="Times New Roman" w:hAnsi="Times New Roman" w:cs="Times New Roman"/>
          <w:sz w:val="24"/>
          <w:szCs w:val="24"/>
        </w:rPr>
      </w:pPr>
    </w:p>
    <w:p w:rsidR="00E019BD" w:rsidRDefault="00E019BD">
      <w:pPr>
        <w:rPr>
          <w:rFonts w:ascii="Times New Roman" w:eastAsia="Times New Roman" w:hAnsi="Times New Roman"/>
          <w:b/>
          <w:caps/>
          <w:color w:val="1F4E79" w:themeColor="accent1" w:themeShade="80"/>
          <w:spacing w:val="5"/>
          <w:sz w:val="28"/>
          <w:szCs w:val="28"/>
          <w:u w:color="222A35" w:themeColor="text2" w:themeShade="80"/>
        </w:rPr>
      </w:pPr>
      <w:r>
        <w:rPr>
          <w:rFonts w:eastAsia="Times New Roman"/>
        </w:rPr>
        <w:br w:type="page"/>
      </w:r>
    </w:p>
    <w:p w:rsidR="004B1C0B" w:rsidRPr="00C73075" w:rsidRDefault="004B1C0B" w:rsidP="009339E0">
      <w:pPr>
        <w:pStyle w:val="Heading2"/>
        <w:rPr>
          <w:rFonts w:eastAsia="Times New Roman"/>
        </w:rPr>
      </w:pPr>
      <w:r w:rsidRPr="00C73075">
        <w:rPr>
          <w:rFonts w:eastAsia="Times New Roman"/>
        </w:rPr>
        <w:lastRenderedPageBreak/>
        <w:t>GENDER</w:t>
      </w:r>
    </w:p>
    <w:p w:rsidR="004B1C0B" w:rsidRDefault="00330D43" w:rsidP="009339E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from DAFM’s client databases shows that in </w:t>
      </w:r>
      <w:r w:rsidR="0083147E">
        <w:rPr>
          <w:rFonts w:ascii="Times New Roman" w:eastAsia="Times New Roman" w:hAnsi="Times New Roman" w:cs="Times New Roman"/>
          <w:sz w:val="24"/>
          <w:szCs w:val="24"/>
        </w:rPr>
        <w:t>2012, o</w:t>
      </w:r>
      <w:r w:rsidRPr="00330D43">
        <w:rPr>
          <w:rFonts w:ascii="Times New Roman" w:eastAsia="Times New Roman" w:hAnsi="Times New Roman" w:cs="Times New Roman"/>
          <w:sz w:val="24"/>
          <w:szCs w:val="24"/>
        </w:rPr>
        <w:t xml:space="preserve">nly </w:t>
      </w:r>
      <w:r w:rsidRPr="009339E0">
        <w:rPr>
          <w:rFonts w:ascii="Times New Roman" w:eastAsia="Times New Roman" w:hAnsi="Times New Roman" w:cs="Times New Roman"/>
          <w:b/>
          <w:sz w:val="24"/>
          <w:szCs w:val="24"/>
        </w:rPr>
        <w:t>13%</w:t>
      </w:r>
      <w:r w:rsidRPr="00330D43">
        <w:rPr>
          <w:rFonts w:ascii="Times New Roman" w:eastAsia="Times New Roman" w:hAnsi="Times New Roman" w:cs="Times New Roman"/>
          <w:sz w:val="24"/>
          <w:szCs w:val="24"/>
        </w:rPr>
        <w:t xml:space="preserve"> </w:t>
      </w:r>
      <w:r w:rsidR="0083147E">
        <w:rPr>
          <w:rFonts w:ascii="Times New Roman" w:eastAsia="Times New Roman" w:hAnsi="Times New Roman" w:cs="Times New Roman"/>
          <w:sz w:val="24"/>
          <w:szCs w:val="24"/>
        </w:rPr>
        <w:t xml:space="preserve">(15,500) </w:t>
      </w:r>
      <w:r w:rsidRPr="00330D43">
        <w:rPr>
          <w:rFonts w:ascii="Times New Roman" w:eastAsia="Times New Roman" w:hAnsi="Times New Roman" w:cs="Times New Roman"/>
          <w:sz w:val="24"/>
          <w:szCs w:val="24"/>
        </w:rPr>
        <w:t xml:space="preserve">of the </w:t>
      </w:r>
      <w:r w:rsidR="0083147E">
        <w:rPr>
          <w:rFonts w:ascii="Times New Roman" w:eastAsia="Times New Roman" w:hAnsi="Times New Roman" w:cs="Times New Roman"/>
          <w:sz w:val="24"/>
          <w:szCs w:val="24"/>
        </w:rPr>
        <w:t xml:space="preserve">123,500 </w:t>
      </w:r>
      <w:r w:rsidRPr="00330D43">
        <w:rPr>
          <w:rFonts w:ascii="Times New Roman" w:eastAsia="Times New Roman" w:hAnsi="Times New Roman" w:cs="Times New Roman"/>
          <w:sz w:val="24"/>
          <w:szCs w:val="24"/>
        </w:rPr>
        <w:t xml:space="preserve">farmers </w:t>
      </w:r>
      <w:r w:rsidR="0083147E">
        <w:rPr>
          <w:rFonts w:ascii="Times New Roman" w:eastAsia="Times New Roman" w:hAnsi="Times New Roman" w:cs="Times New Roman"/>
          <w:sz w:val="24"/>
          <w:szCs w:val="24"/>
        </w:rPr>
        <w:t xml:space="preserve">in receipt of </w:t>
      </w:r>
      <w:r w:rsidR="00F84BA9">
        <w:rPr>
          <w:rFonts w:ascii="Times New Roman" w:eastAsia="Times New Roman" w:hAnsi="Times New Roman" w:cs="Times New Roman"/>
          <w:sz w:val="24"/>
          <w:szCs w:val="24"/>
        </w:rPr>
        <w:t>S</w:t>
      </w:r>
      <w:r w:rsidR="0083147E">
        <w:rPr>
          <w:rFonts w:ascii="Times New Roman" w:eastAsia="Times New Roman" w:hAnsi="Times New Roman" w:cs="Times New Roman"/>
          <w:sz w:val="24"/>
          <w:szCs w:val="24"/>
        </w:rPr>
        <w:t xml:space="preserve">ingle </w:t>
      </w:r>
      <w:r w:rsidR="00F84BA9">
        <w:rPr>
          <w:rFonts w:ascii="Times New Roman" w:eastAsia="Times New Roman" w:hAnsi="Times New Roman" w:cs="Times New Roman"/>
          <w:sz w:val="24"/>
          <w:szCs w:val="24"/>
        </w:rPr>
        <w:t>F</w:t>
      </w:r>
      <w:r w:rsidR="0083147E">
        <w:rPr>
          <w:rFonts w:ascii="Times New Roman" w:eastAsia="Times New Roman" w:hAnsi="Times New Roman" w:cs="Times New Roman"/>
          <w:sz w:val="24"/>
          <w:szCs w:val="24"/>
        </w:rPr>
        <w:t xml:space="preserve">arm </w:t>
      </w:r>
      <w:r w:rsidR="00F84BA9">
        <w:rPr>
          <w:rFonts w:ascii="Times New Roman" w:eastAsia="Times New Roman" w:hAnsi="Times New Roman" w:cs="Times New Roman"/>
          <w:sz w:val="24"/>
          <w:szCs w:val="24"/>
        </w:rPr>
        <w:t>P</w:t>
      </w:r>
      <w:r w:rsidR="0083147E">
        <w:rPr>
          <w:rFonts w:ascii="Times New Roman" w:eastAsia="Times New Roman" w:hAnsi="Times New Roman" w:cs="Times New Roman"/>
          <w:sz w:val="24"/>
          <w:szCs w:val="24"/>
        </w:rPr>
        <w:t xml:space="preserve">ayments (SFP) </w:t>
      </w:r>
      <w:r w:rsidRPr="00330D43">
        <w:rPr>
          <w:rFonts w:ascii="Times New Roman" w:eastAsia="Times New Roman" w:hAnsi="Times New Roman" w:cs="Times New Roman"/>
          <w:sz w:val="24"/>
          <w:szCs w:val="24"/>
        </w:rPr>
        <w:t>were women</w:t>
      </w:r>
      <w:r w:rsidR="0083147E">
        <w:rPr>
          <w:rFonts w:ascii="Times New Roman" w:eastAsia="Times New Roman" w:hAnsi="Times New Roman" w:cs="Times New Roman"/>
          <w:sz w:val="24"/>
          <w:szCs w:val="24"/>
        </w:rPr>
        <w:t xml:space="preserve">. Women </w:t>
      </w:r>
      <w:r w:rsidRPr="00330D43">
        <w:rPr>
          <w:rFonts w:ascii="Times New Roman" w:eastAsia="Times New Roman" w:hAnsi="Times New Roman" w:cs="Times New Roman"/>
          <w:sz w:val="24"/>
          <w:szCs w:val="24"/>
        </w:rPr>
        <w:t xml:space="preserve">were slightly older than their male counterparts with an average age of 61 compared to 56 for men. However, 41% </w:t>
      </w:r>
      <w:r w:rsidR="00C73075">
        <w:rPr>
          <w:rFonts w:ascii="Times New Roman" w:eastAsia="Times New Roman" w:hAnsi="Times New Roman" w:cs="Times New Roman"/>
          <w:sz w:val="24"/>
          <w:szCs w:val="24"/>
        </w:rPr>
        <w:t xml:space="preserve">of </w:t>
      </w:r>
      <w:r w:rsidR="00C73075" w:rsidRPr="00330D43">
        <w:rPr>
          <w:rFonts w:ascii="Times New Roman" w:eastAsia="Times New Roman" w:hAnsi="Times New Roman" w:cs="Times New Roman"/>
          <w:sz w:val="24"/>
          <w:szCs w:val="24"/>
        </w:rPr>
        <w:t>women</w:t>
      </w:r>
      <w:r w:rsidRPr="00330D43">
        <w:rPr>
          <w:rFonts w:ascii="Times New Roman" w:eastAsia="Times New Roman" w:hAnsi="Times New Roman" w:cs="Times New Roman"/>
          <w:sz w:val="24"/>
          <w:szCs w:val="24"/>
        </w:rPr>
        <w:t xml:space="preserve"> </w:t>
      </w:r>
      <w:r w:rsidR="0083147E">
        <w:rPr>
          <w:rFonts w:ascii="Times New Roman" w:eastAsia="Times New Roman" w:hAnsi="Times New Roman" w:cs="Times New Roman"/>
          <w:sz w:val="24"/>
          <w:szCs w:val="24"/>
        </w:rPr>
        <w:t>with a farm in their sole name</w:t>
      </w:r>
      <w:r w:rsidRPr="00330D43">
        <w:rPr>
          <w:rFonts w:ascii="Times New Roman" w:eastAsia="Times New Roman" w:hAnsi="Times New Roman" w:cs="Times New Roman"/>
          <w:sz w:val="24"/>
          <w:szCs w:val="24"/>
        </w:rPr>
        <w:t xml:space="preserve"> were </w:t>
      </w:r>
      <w:r w:rsidR="0083147E">
        <w:rPr>
          <w:rFonts w:ascii="Times New Roman" w:eastAsia="Times New Roman" w:hAnsi="Times New Roman" w:cs="Times New Roman"/>
          <w:sz w:val="24"/>
          <w:szCs w:val="24"/>
        </w:rPr>
        <w:t xml:space="preserve">aged </w:t>
      </w:r>
      <w:r w:rsidRPr="00330D43">
        <w:rPr>
          <w:rFonts w:ascii="Times New Roman" w:eastAsia="Times New Roman" w:hAnsi="Times New Roman" w:cs="Times New Roman"/>
          <w:sz w:val="24"/>
          <w:szCs w:val="24"/>
        </w:rPr>
        <w:t>over 65</w:t>
      </w:r>
      <w:r w:rsidR="0083147E">
        <w:rPr>
          <w:rFonts w:ascii="Times New Roman" w:eastAsia="Times New Roman" w:hAnsi="Times New Roman" w:cs="Times New Roman"/>
          <w:sz w:val="24"/>
          <w:szCs w:val="24"/>
        </w:rPr>
        <w:t xml:space="preserve">. This might indicate that most of these women </w:t>
      </w:r>
      <w:r w:rsidRPr="00330D43">
        <w:rPr>
          <w:rFonts w:ascii="Times New Roman" w:eastAsia="Times New Roman" w:hAnsi="Times New Roman" w:cs="Times New Roman"/>
          <w:sz w:val="24"/>
          <w:szCs w:val="24"/>
        </w:rPr>
        <w:t xml:space="preserve">only received the farm when they were widowed. </w:t>
      </w:r>
      <w:r w:rsidR="0083147E">
        <w:rPr>
          <w:rFonts w:ascii="Times New Roman" w:eastAsia="Times New Roman" w:hAnsi="Times New Roman" w:cs="Times New Roman"/>
          <w:sz w:val="24"/>
          <w:szCs w:val="24"/>
        </w:rPr>
        <w:t xml:space="preserve">Women owned </w:t>
      </w:r>
      <w:r w:rsidR="0083147E" w:rsidRPr="009339E0">
        <w:rPr>
          <w:rFonts w:ascii="Times New Roman" w:eastAsia="Times New Roman" w:hAnsi="Times New Roman" w:cs="Times New Roman"/>
          <w:b/>
          <w:sz w:val="24"/>
          <w:szCs w:val="24"/>
        </w:rPr>
        <w:t>10%</w:t>
      </w:r>
      <w:r w:rsidR="0083147E">
        <w:rPr>
          <w:rFonts w:ascii="Times New Roman" w:eastAsia="Times New Roman" w:hAnsi="Times New Roman" w:cs="Times New Roman"/>
          <w:sz w:val="24"/>
          <w:szCs w:val="24"/>
        </w:rPr>
        <w:t xml:space="preserve"> of the eligible land declared for SFP, and received only </w:t>
      </w:r>
      <w:r w:rsidR="0083147E" w:rsidRPr="009339E0">
        <w:rPr>
          <w:rFonts w:ascii="Times New Roman" w:eastAsia="Times New Roman" w:hAnsi="Times New Roman" w:cs="Times New Roman"/>
          <w:b/>
          <w:sz w:val="24"/>
          <w:szCs w:val="24"/>
        </w:rPr>
        <w:t>8%</w:t>
      </w:r>
      <w:r w:rsidR="0083147E">
        <w:rPr>
          <w:rFonts w:ascii="Times New Roman" w:eastAsia="Times New Roman" w:hAnsi="Times New Roman" w:cs="Times New Roman"/>
          <w:sz w:val="24"/>
          <w:szCs w:val="24"/>
        </w:rPr>
        <w:t xml:space="preserve"> (€101m) of total SFP payments.</w:t>
      </w:r>
    </w:p>
    <w:p w:rsidR="0083147E" w:rsidRDefault="0083147E" w:rsidP="004B1C0B">
      <w:pPr>
        <w:spacing w:after="0" w:line="240" w:lineRule="auto"/>
        <w:rPr>
          <w:rFonts w:ascii="Times New Roman" w:eastAsia="Times New Roman" w:hAnsi="Times New Roman" w:cs="Times New Roman"/>
          <w:sz w:val="24"/>
          <w:szCs w:val="24"/>
        </w:rPr>
      </w:pPr>
    </w:p>
    <w:p w:rsidR="004B1C0B" w:rsidRPr="00C73075" w:rsidRDefault="004B1C0B" w:rsidP="009339E0">
      <w:pPr>
        <w:pStyle w:val="Heading2"/>
        <w:rPr>
          <w:rFonts w:eastAsia="Times New Roman"/>
        </w:rPr>
      </w:pPr>
      <w:r w:rsidRPr="00C73075">
        <w:rPr>
          <w:rFonts w:eastAsia="Times New Roman"/>
        </w:rPr>
        <w:t>LABOUR INPUT REQUIREMENT</w:t>
      </w:r>
    </w:p>
    <w:p w:rsidR="004B1C0B" w:rsidRDefault="004B1C0B" w:rsidP="009339E0">
      <w:pPr>
        <w:spacing w:after="0" w:line="360" w:lineRule="auto"/>
        <w:rPr>
          <w:rFonts w:ascii="Times New Roman" w:eastAsia="Times New Roman" w:hAnsi="Times New Roman" w:cs="Times New Roman"/>
          <w:sz w:val="24"/>
          <w:szCs w:val="24"/>
        </w:rPr>
      </w:pPr>
      <w:r w:rsidRPr="004B1C0B">
        <w:rPr>
          <w:rFonts w:ascii="Times New Roman" w:eastAsia="Times New Roman" w:hAnsi="Times New Roman" w:cs="Times New Roman"/>
          <w:sz w:val="24"/>
          <w:szCs w:val="24"/>
        </w:rPr>
        <w:t>NFS data can be used to examine the extent to which there is excess labour supply on farms. On average, labour input on Irish farms is estimated to exceed labour requirements by 52%. Under-employment is particularly evident on cattle and sheep farms, whilst dairy farms could be described as over-employed as they have less labour available than required. More detail</w:t>
      </w:r>
      <w:r w:rsidR="00F84BA9">
        <w:rPr>
          <w:rFonts w:ascii="Times New Roman" w:eastAsia="Times New Roman" w:hAnsi="Times New Roman" w:cs="Times New Roman"/>
          <w:sz w:val="24"/>
          <w:szCs w:val="24"/>
        </w:rPr>
        <w:t>s</w:t>
      </w:r>
      <w:r w:rsidRPr="004B1C0B">
        <w:rPr>
          <w:rFonts w:ascii="Times New Roman" w:eastAsia="Times New Roman" w:hAnsi="Times New Roman" w:cs="Times New Roman"/>
          <w:sz w:val="24"/>
          <w:szCs w:val="24"/>
        </w:rPr>
        <w:t xml:space="preserve"> </w:t>
      </w:r>
      <w:r w:rsidR="00F84BA9">
        <w:rPr>
          <w:rFonts w:ascii="Times New Roman" w:eastAsia="Times New Roman" w:hAnsi="Times New Roman" w:cs="Times New Roman"/>
          <w:sz w:val="24"/>
          <w:szCs w:val="24"/>
        </w:rPr>
        <w:t xml:space="preserve">on labour input requirement on Irish farms </w:t>
      </w:r>
      <w:r w:rsidR="00F84BA9" w:rsidRPr="004B1C0B">
        <w:rPr>
          <w:rFonts w:ascii="Times New Roman" w:eastAsia="Times New Roman" w:hAnsi="Times New Roman" w:cs="Times New Roman"/>
          <w:sz w:val="24"/>
          <w:szCs w:val="24"/>
        </w:rPr>
        <w:t>are</w:t>
      </w:r>
      <w:r w:rsidRPr="004B1C0B">
        <w:rPr>
          <w:rFonts w:ascii="Times New Roman" w:eastAsia="Times New Roman" w:hAnsi="Times New Roman" w:cs="Times New Roman"/>
          <w:sz w:val="24"/>
          <w:szCs w:val="24"/>
        </w:rPr>
        <w:t xml:space="preserve"> </w:t>
      </w:r>
      <w:r w:rsidR="00F84BA9">
        <w:rPr>
          <w:rFonts w:ascii="Times New Roman" w:eastAsia="Times New Roman" w:hAnsi="Times New Roman" w:cs="Times New Roman"/>
          <w:sz w:val="24"/>
          <w:szCs w:val="24"/>
        </w:rPr>
        <w:t xml:space="preserve">outlined </w:t>
      </w:r>
      <w:r w:rsidRPr="004B1C0B">
        <w:rPr>
          <w:rFonts w:ascii="Times New Roman" w:eastAsia="Times New Roman" w:hAnsi="Times New Roman" w:cs="Times New Roman"/>
          <w:sz w:val="24"/>
          <w:szCs w:val="24"/>
        </w:rPr>
        <w:t>in Appendix Table D.</w:t>
      </w:r>
    </w:p>
    <w:p w:rsidR="004B1C0B" w:rsidRDefault="004B1C0B" w:rsidP="004B1C0B">
      <w:pPr>
        <w:spacing w:after="0" w:line="240" w:lineRule="auto"/>
        <w:rPr>
          <w:rFonts w:ascii="Times New Roman" w:eastAsia="Times New Roman" w:hAnsi="Times New Roman" w:cs="Times New Roman"/>
          <w:sz w:val="24"/>
          <w:szCs w:val="24"/>
        </w:rPr>
      </w:pPr>
    </w:p>
    <w:p w:rsidR="004B1C0B" w:rsidRPr="00C73075" w:rsidRDefault="004B1C0B" w:rsidP="009339E0">
      <w:pPr>
        <w:pStyle w:val="Heading2"/>
        <w:rPr>
          <w:rFonts w:eastAsia="Times New Roman"/>
        </w:rPr>
      </w:pPr>
      <w:r w:rsidRPr="00C73075">
        <w:rPr>
          <w:rFonts w:eastAsia="Times New Roman"/>
        </w:rPr>
        <w:t>BORROWINGS AND INVESTMENT</w:t>
      </w:r>
    </w:p>
    <w:p w:rsidR="0083147E" w:rsidRPr="0083147E" w:rsidRDefault="009378BB" w:rsidP="009339E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0083147E" w:rsidRPr="0083147E">
        <w:rPr>
          <w:rFonts w:ascii="Times New Roman" w:eastAsia="Times New Roman" w:hAnsi="Times New Roman" w:cs="Times New Roman"/>
          <w:sz w:val="24"/>
          <w:szCs w:val="24"/>
        </w:rPr>
        <w:t xml:space="preserve">ross new investment in farming totalled €726 million in 2013, an increase of almost 12% on the 2012 level. </w:t>
      </w:r>
      <w:r w:rsidR="00F84BA9">
        <w:rPr>
          <w:rFonts w:ascii="Times New Roman" w:eastAsia="Times New Roman" w:hAnsi="Times New Roman" w:cs="Times New Roman"/>
          <w:sz w:val="24"/>
          <w:szCs w:val="24"/>
        </w:rPr>
        <w:t>A</w:t>
      </w:r>
      <w:r w:rsidR="0083147E" w:rsidRPr="0083147E">
        <w:rPr>
          <w:rFonts w:ascii="Times New Roman" w:eastAsia="Times New Roman" w:hAnsi="Times New Roman" w:cs="Times New Roman"/>
          <w:sz w:val="24"/>
          <w:szCs w:val="24"/>
        </w:rPr>
        <w:t>verage gross new investment per farm was a little over €9,000. Within the sectors the average gross new investment ranged from over €20,500 per dairy farm to €3,790 per sheep farm in 2013.</w:t>
      </w:r>
    </w:p>
    <w:p w:rsidR="0083147E" w:rsidRPr="0083147E" w:rsidRDefault="0083147E" w:rsidP="009339E0">
      <w:pPr>
        <w:spacing w:after="0" w:line="360" w:lineRule="auto"/>
        <w:rPr>
          <w:rFonts w:ascii="Times New Roman" w:eastAsia="Times New Roman" w:hAnsi="Times New Roman" w:cs="Times New Roman"/>
          <w:sz w:val="24"/>
          <w:szCs w:val="24"/>
        </w:rPr>
      </w:pPr>
    </w:p>
    <w:p w:rsidR="0083147E" w:rsidRDefault="0083147E" w:rsidP="009339E0">
      <w:pPr>
        <w:spacing w:after="0" w:line="360" w:lineRule="auto"/>
        <w:rPr>
          <w:rFonts w:ascii="Times New Roman" w:eastAsia="Times New Roman" w:hAnsi="Times New Roman" w:cs="Times New Roman"/>
          <w:sz w:val="24"/>
          <w:szCs w:val="24"/>
        </w:rPr>
      </w:pPr>
      <w:r w:rsidRPr="0083147E">
        <w:rPr>
          <w:rFonts w:ascii="Times New Roman" w:eastAsia="Times New Roman" w:hAnsi="Times New Roman" w:cs="Times New Roman"/>
          <w:sz w:val="24"/>
          <w:szCs w:val="24"/>
        </w:rPr>
        <w:t>The average borrowings per farm in 2013 was</w:t>
      </w:r>
      <w:r w:rsidR="00AD603E">
        <w:rPr>
          <w:rFonts w:ascii="Times New Roman" w:eastAsia="Times New Roman" w:hAnsi="Times New Roman" w:cs="Times New Roman"/>
          <w:sz w:val="24"/>
          <w:szCs w:val="24"/>
        </w:rPr>
        <w:t xml:space="preserve"> </w:t>
      </w:r>
      <w:r w:rsidR="009378BB">
        <w:rPr>
          <w:rFonts w:ascii="Times New Roman" w:eastAsia="Times New Roman" w:hAnsi="Times New Roman" w:cs="Times New Roman"/>
          <w:sz w:val="24"/>
          <w:szCs w:val="24"/>
        </w:rPr>
        <w:t xml:space="preserve">estimated at </w:t>
      </w:r>
      <w:r w:rsidRPr="0083147E">
        <w:rPr>
          <w:rFonts w:ascii="Times New Roman" w:eastAsia="Times New Roman" w:hAnsi="Times New Roman" w:cs="Times New Roman"/>
          <w:sz w:val="24"/>
          <w:szCs w:val="24"/>
        </w:rPr>
        <w:t>€24,</w:t>
      </w:r>
      <w:r>
        <w:rPr>
          <w:rFonts w:ascii="Times New Roman" w:eastAsia="Times New Roman" w:hAnsi="Times New Roman" w:cs="Times New Roman"/>
          <w:sz w:val="24"/>
          <w:szCs w:val="24"/>
        </w:rPr>
        <w:t>400</w:t>
      </w:r>
      <w:r w:rsidRPr="0083147E">
        <w:rPr>
          <w:rFonts w:ascii="Times New Roman" w:eastAsia="Times New Roman" w:hAnsi="Times New Roman" w:cs="Times New Roman"/>
          <w:sz w:val="24"/>
          <w:szCs w:val="24"/>
        </w:rPr>
        <w:t>. A large majority of farms have no farm business related debt, although this varies considerably across farm systems. The average borrowings on Dairy farms were €65,737 compared to a little over €8,000 on Cattle Rearing.</w:t>
      </w:r>
    </w:p>
    <w:p w:rsidR="00AD603E" w:rsidRPr="0083147E" w:rsidRDefault="00AD603E" w:rsidP="009339E0">
      <w:pPr>
        <w:spacing w:after="0" w:line="360" w:lineRule="auto"/>
        <w:rPr>
          <w:rFonts w:ascii="Times New Roman" w:eastAsia="Times New Roman" w:hAnsi="Times New Roman" w:cs="Times New Roman"/>
          <w:sz w:val="24"/>
          <w:szCs w:val="24"/>
        </w:rPr>
      </w:pPr>
    </w:p>
    <w:p w:rsidR="0083147E" w:rsidRPr="0083147E" w:rsidRDefault="009339E0" w:rsidP="009339E0">
      <w:pPr>
        <w:pStyle w:val="Heading3"/>
        <w:rPr>
          <w:rFonts w:eastAsia="Times New Roman" w:cs="Times New Roman"/>
        </w:rPr>
      </w:pPr>
      <w:r>
        <w:rPr>
          <w:rFonts w:eastAsia="Times New Roman" w:cs="Times New Roman"/>
        </w:rPr>
        <w:t>Borrowings and Investment 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992"/>
        <w:gridCol w:w="851"/>
        <w:gridCol w:w="1134"/>
        <w:gridCol w:w="1134"/>
        <w:gridCol w:w="850"/>
        <w:gridCol w:w="1418"/>
      </w:tblGrid>
      <w:tr w:rsidR="0083147E" w:rsidRPr="0083147E" w:rsidTr="0083147E">
        <w:tc>
          <w:tcPr>
            <w:tcW w:w="2552"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p>
        </w:tc>
        <w:tc>
          <w:tcPr>
            <w:tcW w:w="992" w:type="dxa"/>
            <w:vAlign w:val="center"/>
          </w:tcPr>
          <w:p w:rsidR="0083147E" w:rsidRPr="0083147E" w:rsidRDefault="0083147E" w:rsidP="009322B5">
            <w:pPr>
              <w:spacing w:after="0"/>
              <w:outlineLvl w:val="1"/>
              <w:rPr>
                <w:rFonts w:ascii="Times New Roman" w:eastAsia="Times New Roman" w:hAnsi="Times New Roman" w:cs="Times New Roman"/>
                <w:b/>
                <w:bCs/>
                <w:lang w:eastAsia="en-IE"/>
              </w:rPr>
            </w:pPr>
            <w:r w:rsidRPr="0083147E">
              <w:rPr>
                <w:rFonts w:ascii="Times New Roman" w:eastAsia="Times New Roman" w:hAnsi="Times New Roman" w:cs="Times New Roman"/>
                <w:b/>
                <w:bCs/>
                <w:lang w:eastAsia="en-IE"/>
              </w:rPr>
              <w:t>All Farms</w:t>
            </w:r>
          </w:p>
        </w:tc>
        <w:tc>
          <w:tcPr>
            <w:tcW w:w="851"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Dairy</w:t>
            </w:r>
          </w:p>
        </w:tc>
        <w:tc>
          <w:tcPr>
            <w:tcW w:w="1134"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Cattle Rearing</w:t>
            </w:r>
          </w:p>
        </w:tc>
        <w:tc>
          <w:tcPr>
            <w:tcW w:w="1134"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Cattle Other</w:t>
            </w:r>
          </w:p>
        </w:tc>
        <w:tc>
          <w:tcPr>
            <w:tcW w:w="850"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Sheep</w:t>
            </w:r>
          </w:p>
        </w:tc>
        <w:tc>
          <w:tcPr>
            <w:tcW w:w="1418"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Tillage</w:t>
            </w:r>
          </w:p>
        </w:tc>
      </w:tr>
      <w:tr w:rsidR="0083147E" w:rsidRPr="0083147E" w:rsidTr="0083147E">
        <w:tc>
          <w:tcPr>
            <w:tcW w:w="2552"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Gross New Investment €</w:t>
            </w:r>
          </w:p>
        </w:tc>
        <w:tc>
          <w:tcPr>
            <w:tcW w:w="992" w:type="dxa"/>
            <w:vAlign w:val="center"/>
          </w:tcPr>
          <w:p w:rsidR="0083147E" w:rsidRPr="0083147E" w:rsidRDefault="0083147E" w:rsidP="009322B5">
            <w:pPr>
              <w:spacing w:after="0"/>
              <w:outlineLvl w:val="1"/>
              <w:rPr>
                <w:rFonts w:ascii="Times New Roman" w:eastAsia="Times New Roman" w:hAnsi="Times New Roman" w:cs="Times New Roman"/>
                <w:b/>
                <w:bCs/>
                <w:lang w:eastAsia="en-IE"/>
              </w:rPr>
            </w:pPr>
            <w:r w:rsidRPr="0083147E">
              <w:rPr>
                <w:rFonts w:ascii="Times New Roman" w:eastAsia="Times New Roman" w:hAnsi="Times New Roman" w:cs="Times New Roman"/>
                <w:b/>
                <w:bCs/>
                <w:lang w:eastAsia="en-IE"/>
              </w:rPr>
              <w:t>9,175</w:t>
            </w:r>
          </w:p>
        </w:tc>
        <w:tc>
          <w:tcPr>
            <w:tcW w:w="851"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20,531</w:t>
            </w:r>
          </w:p>
        </w:tc>
        <w:tc>
          <w:tcPr>
            <w:tcW w:w="1134" w:type="dxa"/>
            <w:vAlign w:val="center"/>
          </w:tcPr>
          <w:p w:rsidR="0083147E" w:rsidRPr="0083147E" w:rsidRDefault="0083147E" w:rsidP="009322B5">
            <w:pPr>
              <w:spacing w:after="0"/>
              <w:rPr>
                <w:rFonts w:ascii="Times New Roman" w:hAnsi="Times New Roman" w:cs="Times New Roman"/>
              </w:rPr>
            </w:pPr>
            <w:r w:rsidRPr="0083147E">
              <w:rPr>
                <w:rFonts w:ascii="Times New Roman" w:hAnsi="Times New Roman" w:cs="Times New Roman"/>
              </w:rPr>
              <w:t>4,745</w:t>
            </w:r>
          </w:p>
        </w:tc>
        <w:tc>
          <w:tcPr>
            <w:tcW w:w="1134"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5,579</w:t>
            </w:r>
          </w:p>
        </w:tc>
        <w:tc>
          <w:tcPr>
            <w:tcW w:w="850"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3,790</w:t>
            </w:r>
          </w:p>
        </w:tc>
        <w:tc>
          <w:tcPr>
            <w:tcW w:w="1418"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14,471</w:t>
            </w:r>
          </w:p>
        </w:tc>
      </w:tr>
      <w:tr w:rsidR="0083147E" w:rsidRPr="0083147E" w:rsidTr="0083147E">
        <w:tc>
          <w:tcPr>
            <w:tcW w:w="2552"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Loans Closing Balance €</w:t>
            </w:r>
          </w:p>
        </w:tc>
        <w:tc>
          <w:tcPr>
            <w:tcW w:w="992" w:type="dxa"/>
            <w:vAlign w:val="center"/>
          </w:tcPr>
          <w:p w:rsidR="0083147E" w:rsidRPr="0083147E" w:rsidRDefault="0083147E" w:rsidP="009322B5">
            <w:pPr>
              <w:spacing w:after="0"/>
              <w:outlineLvl w:val="1"/>
              <w:rPr>
                <w:rFonts w:ascii="Times New Roman" w:eastAsia="Times New Roman" w:hAnsi="Times New Roman" w:cs="Times New Roman"/>
                <w:b/>
                <w:bCs/>
                <w:lang w:eastAsia="en-IE"/>
              </w:rPr>
            </w:pPr>
            <w:r w:rsidRPr="0083147E">
              <w:rPr>
                <w:rFonts w:ascii="Times New Roman" w:eastAsia="Times New Roman" w:hAnsi="Times New Roman" w:cs="Times New Roman"/>
                <w:b/>
                <w:bCs/>
                <w:lang w:eastAsia="en-IE"/>
              </w:rPr>
              <w:t>24,398</w:t>
            </w:r>
          </w:p>
        </w:tc>
        <w:tc>
          <w:tcPr>
            <w:tcW w:w="851"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65,737</w:t>
            </w:r>
          </w:p>
        </w:tc>
        <w:tc>
          <w:tcPr>
            <w:tcW w:w="1134" w:type="dxa"/>
            <w:vAlign w:val="center"/>
          </w:tcPr>
          <w:p w:rsidR="0083147E" w:rsidRPr="0083147E" w:rsidRDefault="0083147E" w:rsidP="009322B5">
            <w:pPr>
              <w:spacing w:after="0"/>
              <w:rPr>
                <w:rFonts w:ascii="Times New Roman" w:hAnsi="Times New Roman" w:cs="Times New Roman"/>
              </w:rPr>
            </w:pPr>
            <w:r w:rsidRPr="0083147E">
              <w:rPr>
                <w:rFonts w:ascii="Times New Roman" w:hAnsi="Times New Roman" w:cs="Times New Roman"/>
              </w:rPr>
              <w:t>8,213</w:t>
            </w:r>
          </w:p>
        </w:tc>
        <w:tc>
          <w:tcPr>
            <w:tcW w:w="1134"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13,193</w:t>
            </w:r>
          </w:p>
        </w:tc>
        <w:tc>
          <w:tcPr>
            <w:tcW w:w="850"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10,304</w:t>
            </w:r>
          </w:p>
        </w:tc>
        <w:tc>
          <w:tcPr>
            <w:tcW w:w="1418" w:type="dxa"/>
            <w:vAlign w:val="center"/>
          </w:tcPr>
          <w:p w:rsidR="0083147E" w:rsidRPr="0083147E" w:rsidRDefault="0083147E" w:rsidP="009322B5">
            <w:pPr>
              <w:spacing w:after="0"/>
              <w:outlineLvl w:val="1"/>
              <w:rPr>
                <w:rFonts w:ascii="Times New Roman" w:eastAsia="Times New Roman" w:hAnsi="Times New Roman" w:cs="Times New Roman"/>
                <w:bCs/>
                <w:lang w:eastAsia="en-IE"/>
              </w:rPr>
            </w:pPr>
            <w:r w:rsidRPr="0083147E">
              <w:rPr>
                <w:rFonts w:ascii="Times New Roman" w:eastAsia="Times New Roman" w:hAnsi="Times New Roman" w:cs="Times New Roman"/>
                <w:bCs/>
                <w:lang w:eastAsia="en-IE"/>
              </w:rPr>
              <w:t>30,268</w:t>
            </w:r>
          </w:p>
        </w:tc>
      </w:tr>
    </w:tbl>
    <w:p w:rsidR="0083147E" w:rsidRPr="009378BB" w:rsidRDefault="009339E0" w:rsidP="0083147E">
      <w:pPr>
        <w:spacing w:after="0" w:line="240" w:lineRule="auto"/>
        <w:rPr>
          <w:rFonts w:ascii="Times New Roman" w:eastAsia="Times New Roman" w:hAnsi="Times New Roman" w:cs="Times New Roman"/>
          <w:szCs w:val="24"/>
        </w:rPr>
      </w:pPr>
      <w:r w:rsidRPr="009378BB">
        <w:rPr>
          <w:rFonts w:ascii="Times New Roman" w:eastAsia="Times New Roman" w:hAnsi="Times New Roman" w:cs="Times New Roman"/>
          <w:szCs w:val="24"/>
        </w:rPr>
        <w:t>Source: Teagasc National Farm Survey 2013</w:t>
      </w:r>
      <w:r w:rsidR="00AD603E" w:rsidRPr="009378BB">
        <w:rPr>
          <w:rFonts w:ascii="Times New Roman" w:eastAsia="Times New Roman" w:hAnsi="Times New Roman" w:cs="Times New Roman"/>
          <w:szCs w:val="24"/>
        </w:rPr>
        <w:t xml:space="preserve"> (Note</w:t>
      </w:r>
      <w:r w:rsidR="00AD603E" w:rsidRPr="00AD603E">
        <w:rPr>
          <w:rFonts w:ascii="Times New Roman" w:eastAsia="Times New Roman" w:hAnsi="Times New Roman" w:cs="Times New Roman"/>
        </w:rPr>
        <w:t xml:space="preserve"> </w:t>
      </w:r>
      <w:r w:rsidR="00AD603E" w:rsidRPr="0060546F">
        <w:rPr>
          <w:rFonts w:ascii="Times New Roman" w:eastAsia="Times New Roman" w:hAnsi="Times New Roman" w:cs="Times New Roman"/>
        </w:rPr>
        <w:t xml:space="preserve">– </w:t>
      </w:r>
      <w:r w:rsidR="00AD603E" w:rsidRPr="009378BB">
        <w:rPr>
          <w:rFonts w:ascii="Times New Roman" w:eastAsia="Times New Roman" w:hAnsi="Times New Roman" w:cs="Times New Roman"/>
          <w:szCs w:val="24"/>
        </w:rPr>
        <w:t>represents the 80,000 largest farms)</w:t>
      </w:r>
    </w:p>
    <w:p w:rsidR="009339E0" w:rsidRDefault="009339E0" w:rsidP="0083147E">
      <w:pPr>
        <w:spacing w:after="0" w:line="240" w:lineRule="auto"/>
        <w:rPr>
          <w:rFonts w:ascii="Times New Roman" w:eastAsia="Times New Roman" w:hAnsi="Times New Roman" w:cs="Times New Roman"/>
          <w:sz w:val="24"/>
          <w:szCs w:val="24"/>
        </w:rPr>
      </w:pPr>
    </w:p>
    <w:p w:rsidR="009339E0" w:rsidRDefault="009339E0" w:rsidP="0083147E">
      <w:pPr>
        <w:spacing w:after="0" w:line="240" w:lineRule="auto"/>
        <w:rPr>
          <w:rFonts w:ascii="Times New Roman" w:eastAsia="Times New Roman" w:hAnsi="Times New Roman" w:cs="Times New Roman"/>
          <w:sz w:val="24"/>
          <w:szCs w:val="24"/>
        </w:rPr>
      </w:pPr>
    </w:p>
    <w:p w:rsidR="00E019BD" w:rsidRDefault="00E019BD">
      <w:pPr>
        <w:rPr>
          <w:rFonts w:ascii="Times New Roman" w:eastAsia="Times New Roman" w:hAnsi="Times New Roman"/>
          <w:b/>
          <w:caps/>
          <w:color w:val="1F4E79" w:themeColor="accent1" w:themeShade="80"/>
          <w:spacing w:val="5"/>
          <w:sz w:val="28"/>
          <w:szCs w:val="28"/>
          <w:u w:color="222A35" w:themeColor="text2" w:themeShade="80"/>
        </w:rPr>
      </w:pPr>
      <w:r>
        <w:rPr>
          <w:rFonts w:eastAsia="Times New Roman"/>
        </w:rPr>
        <w:br w:type="page"/>
      </w:r>
    </w:p>
    <w:p w:rsidR="00C73075" w:rsidRPr="00C73075" w:rsidRDefault="00C73075" w:rsidP="009339E0">
      <w:pPr>
        <w:pStyle w:val="Heading2"/>
        <w:rPr>
          <w:rFonts w:eastAsia="Times New Roman"/>
        </w:rPr>
      </w:pPr>
      <w:r w:rsidRPr="00C73075">
        <w:rPr>
          <w:rFonts w:eastAsia="Times New Roman"/>
        </w:rPr>
        <w:lastRenderedPageBreak/>
        <w:t>Land Mobility</w:t>
      </w:r>
    </w:p>
    <w:p w:rsidR="00C73075" w:rsidRPr="00C73075" w:rsidRDefault="00C73075" w:rsidP="00C73075">
      <w:pPr>
        <w:spacing w:after="0" w:line="360" w:lineRule="auto"/>
        <w:rPr>
          <w:rFonts w:ascii="Times New Roman" w:hAnsi="Times New Roman" w:cs="Times New Roman"/>
          <w:sz w:val="24"/>
          <w:szCs w:val="24"/>
        </w:rPr>
      </w:pPr>
      <w:r w:rsidRPr="00C73075">
        <w:rPr>
          <w:rFonts w:ascii="Times New Roman" w:hAnsi="Times New Roman" w:cs="Times New Roman"/>
          <w:sz w:val="24"/>
          <w:szCs w:val="24"/>
        </w:rPr>
        <w:t>The low level of land mobility in Ireland is one of the main structural challenges facing the agriculture sector. There is a dearth of official data on sales, leasing and rental activity in the Irish land market to ascertain the current extent of land mobility. Notwithstanding these data gaps, recent trends in this area are examined here using various official, administrative and other sources.</w:t>
      </w:r>
    </w:p>
    <w:p w:rsidR="00C73075" w:rsidRPr="00C73075" w:rsidRDefault="00C73075" w:rsidP="00C73075">
      <w:pPr>
        <w:spacing w:after="0" w:line="360" w:lineRule="auto"/>
        <w:rPr>
          <w:rFonts w:ascii="Times New Roman" w:hAnsi="Times New Roman" w:cs="Times New Roman"/>
          <w:sz w:val="24"/>
          <w:szCs w:val="24"/>
        </w:rPr>
      </w:pPr>
    </w:p>
    <w:p w:rsidR="00C73075" w:rsidRPr="00C73075" w:rsidRDefault="00C73075" w:rsidP="00C73075">
      <w:pPr>
        <w:spacing w:after="0" w:line="360" w:lineRule="auto"/>
        <w:rPr>
          <w:rFonts w:ascii="Times New Roman" w:hAnsi="Times New Roman" w:cs="Times New Roman"/>
          <w:b/>
          <w:sz w:val="24"/>
          <w:szCs w:val="24"/>
        </w:rPr>
      </w:pPr>
      <w:r w:rsidRPr="00C73075">
        <w:rPr>
          <w:rFonts w:ascii="Times New Roman" w:hAnsi="Times New Roman" w:cs="Times New Roman"/>
          <w:b/>
          <w:sz w:val="24"/>
          <w:szCs w:val="24"/>
        </w:rPr>
        <w:t>Sales Data</w:t>
      </w:r>
    </w:p>
    <w:p w:rsidR="00C73075" w:rsidRPr="00C73075" w:rsidRDefault="00C73075" w:rsidP="00C73075">
      <w:pPr>
        <w:spacing w:after="0" w:line="360" w:lineRule="auto"/>
        <w:rPr>
          <w:rFonts w:ascii="Times New Roman" w:hAnsi="Times New Roman" w:cs="Times New Roman"/>
          <w:sz w:val="24"/>
          <w:szCs w:val="24"/>
        </w:rPr>
      </w:pPr>
      <w:r w:rsidRPr="00C73075">
        <w:rPr>
          <w:rFonts w:ascii="Times New Roman" w:hAnsi="Times New Roman" w:cs="Times New Roman"/>
          <w:sz w:val="24"/>
          <w:szCs w:val="24"/>
        </w:rPr>
        <w:t>The 2013 agricultural land price report in the Farmers Journal</w:t>
      </w:r>
      <w:r w:rsidRPr="00C73075">
        <w:rPr>
          <w:rStyle w:val="EndnoteReference"/>
          <w:rFonts w:ascii="Times New Roman" w:hAnsi="Times New Roman" w:cs="Times New Roman"/>
          <w:sz w:val="24"/>
          <w:szCs w:val="24"/>
        </w:rPr>
        <w:endnoteReference w:id="10"/>
      </w:r>
      <w:r w:rsidRPr="00C73075">
        <w:rPr>
          <w:rFonts w:ascii="Times New Roman" w:hAnsi="Times New Roman" w:cs="Times New Roman"/>
          <w:sz w:val="24"/>
          <w:szCs w:val="24"/>
        </w:rPr>
        <w:t xml:space="preserve"> produces a comprehensive analysis on land sales in Ireland. It reported that 1,484 land parcels amounting to 30,300 hectares were offered for sale in 2013, but less than half of these parcels (670 or 12,400 hectares.) were actually sold.  Despite an increase in the volume of land for sale over previous years, this still only constitutes less than 1% of the total land area in the country with less than 0.5% of the total land area actually achieving a successful sale.  The average price paid for land in 2013 was €23,200/ha</w:t>
      </w:r>
      <w:r>
        <w:rPr>
          <w:rFonts w:ascii="Times New Roman" w:hAnsi="Times New Roman" w:cs="Times New Roman"/>
          <w:sz w:val="24"/>
          <w:szCs w:val="24"/>
        </w:rPr>
        <w:t>.</w:t>
      </w:r>
      <w:r w:rsidRPr="00C73075">
        <w:rPr>
          <w:rFonts w:ascii="Times New Roman" w:hAnsi="Times New Roman" w:cs="Times New Roman"/>
          <w:sz w:val="24"/>
          <w:szCs w:val="24"/>
        </w:rPr>
        <w:t xml:space="preserve"> </w:t>
      </w:r>
    </w:p>
    <w:p w:rsidR="00C73075" w:rsidRPr="00C73075" w:rsidRDefault="00C73075" w:rsidP="00C73075">
      <w:pPr>
        <w:spacing w:after="0" w:line="360" w:lineRule="auto"/>
        <w:rPr>
          <w:rFonts w:ascii="Times New Roman" w:hAnsi="Times New Roman" w:cs="Times New Roman"/>
          <w:b/>
          <w:sz w:val="24"/>
          <w:szCs w:val="24"/>
        </w:rPr>
      </w:pPr>
    </w:p>
    <w:p w:rsidR="00C73075" w:rsidRPr="00C73075" w:rsidRDefault="00C73075" w:rsidP="00C73075">
      <w:pPr>
        <w:pStyle w:val="Heading3"/>
        <w:numPr>
          <w:ilvl w:val="0"/>
          <w:numId w:val="0"/>
        </w:numPr>
        <w:spacing w:line="360" w:lineRule="auto"/>
        <w:rPr>
          <w:rFonts w:cs="Times New Roman"/>
          <w:i w:val="0"/>
          <w:color w:val="auto"/>
        </w:rPr>
      </w:pPr>
      <w:r w:rsidRPr="00C73075">
        <w:rPr>
          <w:rFonts w:cs="Times New Roman"/>
          <w:i w:val="0"/>
          <w:color w:val="auto"/>
        </w:rPr>
        <w:t>Leasing and Rental Data</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r w:rsidRPr="00C73075">
        <w:rPr>
          <w:rFonts w:ascii="Times New Roman" w:hAnsi="Times New Roman" w:cs="Times New Roman"/>
          <w:color w:val="000000"/>
          <w:sz w:val="24"/>
          <w:szCs w:val="24"/>
          <w:lang w:eastAsia="en-IE"/>
        </w:rPr>
        <w:t xml:space="preserve">DAFM analysis of the </w:t>
      </w:r>
      <w:r>
        <w:rPr>
          <w:rFonts w:ascii="Times New Roman" w:hAnsi="Times New Roman" w:cs="Times New Roman"/>
          <w:color w:val="000000"/>
          <w:sz w:val="24"/>
          <w:szCs w:val="24"/>
          <w:lang w:eastAsia="en-IE"/>
        </w:rPr>
        <w:t>SFP</w:t>
      </w:r>
      <w:r w:rsidRPr="00C73075">
        <w:rPr>
          <w:rFonts w:ascii="Times New Roman" w:hAnsi="Times New Roman" w:cs="Times New Roman"/>
          <w:color w:val="000000"/>
          <w:sz w:val="24"/>
          <w:szCs w:val="24"/>
          <w:lang w:eastAsia="en-IE"/>
        </w:rPr>
        <w:t xml:space="preserve"> database in 2012</w:t>
      </w:r>
      <w:r w:rsidRPr="00C73075">
        <w:rPr>
          <w:rFonts w:ascii="Times New Roman" w:hAnsi="Times New Roman" w:cs="Times New Roman"/>
        </w:rPr>
        <w:t xml:space="preserve"> </w:t>
      </w:r>
      <w:r w:rsidRPr="00C73075">
        <w:rPr>
          <w:rFonts w:ascii="Times New Roman" w:hAnsi="Times New Roman" w:cs="Times New Roman"/>
          <w:color w:val="000000"/>
          <w:sz w:val="24"/>
          <w:szCs w:val="24"/>
          <w:lang w:eastAsia="en-IE"/>
        </w:rPr>
        <w:t>found that the average area leased was 18.8 ha per farm</w:t>
      </w:r>
      <w:r>
        <w:rPr>
          <w:rFonts w:ascii="Times New Roman" w:hAnsi="Times New Roman" w:cs="Times New Roman"/>
          <w:color w:val="000000"/>
          <w:sz w:val="24"/>
          <w:szCs w:val="24"/>
          <w:lang w:eastAsia="en-IE"/>
        </w:rPr>
        <w:t>,</w:t>
      </w:r>
      <w:r w:rsidRPr="00C73075">
        <w:rPr>
          <w:rFonts w:ascii="Times New Roman" w:hAnsi="Times New Roman" w:cs="Times New Roman"/>
          <w:color w:val="000000"/>
          <w:sz w:val="24"/>
          <w:szCs w:val="24"/>
          <w:lang w:eastAsia="en-IE"/>
        </w:rPr>
        <w:t xml:space="preserve"> based on </w:t>
      </w:r>
      <w:r>
        <w:rPr>
          <w:rFonts w:ascii="Times New Roman" w:hAnsi="Times New Roman" w:cs="Times New Roman"/>
          <w:color w:val="000000"/>
          <w:sz w:val="24"/>
          <w:szCs w:val="24"/>
          <w:lang w:eastAsia="en-IE"/>
        </w:rPr>
        <w:t>almost 54,000</w:t>
      </w:r>
      <w:r w:rsidRPr="00C73075">
        <w:rPr>
          <w:rFonts w:ascii="Times New Roman" w:hAnsi="Times New Roman" w:cs="Times New Roman"/>
          <w:color w:val="000000"/>
          <w:sz w:val="24"/>
          <w:szCs w:val="24"/>
          <w:lang w:eastAsia="en-IE"/>
        </w:rPr>
        <w:t xml:space="preserve"> farms renting </w:t>
      </w:r>
      <w:r>
        <w:rPr>
          <w:rFonts w:ascii="Times New Roman" w:hAnsi="Times New Roman" w:cs="Times New Roman"/>
          <w:color w:val="000000"/>
          <w:sz w:val="24"/>
          <w:szCs w:val="24"/>
          <w:lang w:eastAsia="en-IE"/>
        </w:rPr>
        <w:t>just over 1 million hectares</w:t>
      </w:r>
      <w:r w:rsidRPr="00C73075">
        <w:rPr>
          <w:rFonts w:ascii="Times New Roman" w:hAnsi="Times New Roman" w:cs="Times New Roman"/>
          <w:color w:val="000000"/>
          <w:sz w:val="24"/>
          <w:szCs w:val="24"/>
          <w:lang w:eastAsia="en-IE"/>
        </w:rPr>
        <w:t xml:space="preserve"> in 2012. The comparable figure from the 2010 Census of Agriculture was 41,</w:t>
      </w:r>
      <w:r>
        <w:rPr>
          <w:rFonts w:ascii="Times New Roman" w:hAnsi="Times New Roman" w:cs="Times New Roman"/>
          <w:color w:val="000000"/>
          <w:sz w:val="24"/>
          <w:szCs w:val="24"/>
          <w:lang w:eastAsia="en-IE"/>
        </w:rPr>
        <w:t>500</w:t>
      </w:r>
      <w:r w:rsidRPr="00C73075">
        <w:rPr>
          <w:rFonts w:ascii="Times New Roman" w:hAnsi="Times New Roman" w:cs="Times New Roman"/>
          <w:color w:val="000000"/>
          <w:sz w:val="24"/>
          <w:szCs w:val="24"/>
          <w:lang w:eastAsia="en-IE"/>
        </w:rPr>
        <w:t xml:space="preserve"> farms renting 784,</w:t>
      </w:r>
      <w:r>
        <w:rPr>
          <w:rFonts w:ascii="Times New Roman" w:hAnsi="Times New Roman" w:cs="Times New Roman"/>
          <w:color w:val="000000"/>
          <w:sz w:val="24"/>
          <w:szCs w:val="24"/>
          <w:lang w:eastAsia="en-IE"/>
        </w:rPr>
        <w:t>000</w:t>
      </w:r>
      <w:r w:rsidRPr="00C73075">
        <w:rPr>
          <w:rFonts w:ascii="Times New Roman" w:hAnsi="Times New Roman" w:cs="Times New Roman"/>
          <w:color w:val="000000"/>
          <w:sz w:val="24"/>
          <w:szCs w:val="24"/>
          <w:lang w:eastAsia="en-IE"/>
        </w:rPr>
        <w:t xml:space="preserve"> ha or an average of 18.9 ha per farm. Neither of these sources allows for a reliable disaggregation of the prevalence of short term re</w:t>
      </w:r>
      <w:r>
        <w:rPr>
          <w:rFonts w:ascii="Times New Roman" w:hAnsi="Times New Roman" w:cs="Times New Roman"/>
          <w:color w:val="000000"/>
          <w:sz w:val="24"/>
          <w:szCs w:val="24"/>
          <w:lang w:eastAsia="en-IE"/>
        </w:rPr>
        <w:t>ntals versus longer term leases. H</w:t>
      </w:r>
      <w:r w:rsidRPr="00C73075">
        <w:rPr>
          <w:rFonts w:ascii="Times New Roman" w:hAnsi="Times New Roman" w:cs="Times New Roman"/>
          <w:color w:val="000000"/>
          <w:sz w:val="24"/>
          <w:szCs w:val="24"/>
          <w:lang w:eastAsia="en-IE"/>
        </w:rPr>
        <w:t xml:space="preserve">owever it </w:t>
      </w:r>
      <w:r>
        <w:rPr>
          <w:rFonts w:ascii="Times New Roman" w:hAnsi="Times New Roman" w:cs="Times New Roman"/>
          <w:color w:val="000000"/>
          <w:sz w:val="24"/>
          <w:szCs w:val="24"/>
          <w:lang w:eastAsia="en-IE"/>
        </w:rPr>
        <w:t xml:space="preserve">seems likely </w:t>
      </w:r>
      <w:r w:rsidRPr="00C73075">
        <w:rPr>
          <w:rFonts w:ascii="Times New Roman" w:hAnsi="Times New Roman" w:cs="Times New Roman"/>
          <w:color w:val="000000"/>
          <w:sz w:val="24"/>
          <w:szCs w:val="24"/>
          <w:lang w:eastAsia="en-IE"/>
        </w:rPr>
        <w:t xml:space="preserve">that the majority of rental/leases are made up of short term or conacre arrangements given that the numbers availing of the </w:t>
      </w:r>
      <w:r>
        <w:rPr>
          <w:rFonts w:ascii="Times New Roman" w:hAnsi="Times New Roman" w:cs="Times New Roman"/>
          <w:color w:val="000000"/>
          <w:sz w:val="24"/>
          <w:szCs w:val="24"/>
          <w:lang w:eastAsia="en-IE"/>
        </w:rPr>
        <w:t>i</w:t>
      </w:r>
      <w:r w:rsidRPr="00C73075">
        <w:rPr>
          <w:rFonts w:ascii="Times New Roman" w:hAnsi="Times New Roman" w:cs="Times New Roman"/>
          <w:color w:val="000000"/>
          <w:sz w:val="24"/>
          <w:szCs w:val="24"/>
          <w:lang w:eastAsia="en-IE"/>
        </w:rPr>
        <w:t>ncome tax exemption for leasing of farm lands (available for leases for &gt;5 years) was circa 3,600 for both the years 2011 and 2012.</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r w:rsidRPr="00C73075">
        <w:rPr>
          <w:rFonts w:ascii="Times New Roman" w:hAnsi="Times New Roman" w:cs="Times New Roman"/>
          <w:color w:val="000000"/>
          <w:sz w:val="24"/>
          <w:szCs w:val="24"/>
          <w:lang w:eastAsia="en-IE"/>
        </w:rPr>
        <w:t>Teagasc/SCSI’s Land Market Review and Outlook 2014 noted that, in general, the trend in land rental prices</w:t>
      </w:r>
      <w:r w:rsidRPr="00C73075">
        <w:rPr>
          <w:rFonts w:ascii="Times New Roman" w:hAnsi="Times New Roman" w:cs="Times New Roman"/>
          <w:color w:val="231F20"/>
          <w:sz w:val="16"/>
          <w:szCs w:val="16"/>
        </w:rPr>
        <w:t xml:space="preserve"> </w:t>
      </w:r>
      <w:r w:rsidRPr="00C73075">
        <w:rPr>
          <w:rFonts w:ascii="Times New Roman" w:hAnsi="Times New Roman" w:cs="Times New Roman"/>
          <w:color w:val="000000"/>
          <w:sz w:val="24"/>
          <w:szCs w:val="24"/>
          <w:lang w:eastAsia="en-IE"/>
        </w:rPr>
        <w:t>has been upwards since 2010. Significant increases in rental prices have been recorded for grazing-only land in the past four years reflecting the strong demand amongst dairy farmers to expand and increase productivity. Market rents for tillage land are typically higher than land for grazing/silage.</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p>
    <w:p w:rsidR="00C73075" w:rsidRPr="00C73075" w:rsidRDefault="00C73075" w:rsidP="009339E0">
      <w:pPr>
        <w:pStyle w:val="Heading2"/>
        <w:rPr>
          <w:rFonts w:eastAsia="Times New Roman"/>
        </w:rPr>
      </w:pPr>
      <w:r w:rsidRPr="00C73075">
        <w:rPr>
          <w:rFonts w:eastAsia="Times New Roman"/>
        </w:rPr>
        <w:lastRenderedPageBreak/>
        <w:t>Collaborative Farming</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r w:rsidRPr="00C73075">
        <w:rPr>
          <w:rFonts w:ascii="Times New Roman" w:hAnsi="Times New Roman" w:cs="Times New Roman"/>
          <w:color w:val="000000"/>
          <w:sz w:val="24"/>
          <w:szCs w:val="24"/>
          <w:lang w:eastAsia="en-IE"/>
        </w:rPr>
        <w:t xml:space="preserve">Collaborative farming refers to newer models of farming and can a play a role in resolving both the land mobility challenge and lowering the overall average age of those in involved in Irish agriculture. There are a number of different types of arrangements that fall within the heading of collaborative farming, such as contract rearing and share farming. </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r w:rsidRPr="00C73075">
        <w:rPr>
          <w:rFonts w:ascii="Times New Roman" w:hAnsi="Times New Roman" w:cs="Times New Roman"/>
          <w:color w:val="000000"/>
          <w:sz w:val="24"/>
          <w:szCs w:val="24"/>
          <w:lang w:eastAsia="en-IE"/>
        </w:rPr>
        <w:t xml:space="preserve">Currently the most prevalent collaborative farming model practiced in Ireland are the Milk Production Partnerships, which are the only form of formal farm partnership provided for within the suite of agriculture legislation. These were introduced in 2002 and there are currently </w:t>
      </w:r>
      <w:r w:rsidR="009378BB">
        <w:rPr>
          <w:rFonts w:ascii="Times New Roman" w:hAnsi="Times New Roman" w:cs="Times New Roman"/>
          <w:color w:val="000000"/>
          <w:sz w:val="24"/>
          <w:szCs w:val="24"/>
          <w:lang w:eastAsia="en-IE"/>
        </w:rPr>
        <w:t>around</w:t>
      </w:r>
      <w:r w:rsidR="00D73B9A">
        <w:rPr>
          <w:rFonts w:ascii="Times New Roman" w:hAnsi="Times New Roman" w:cs="Times New Roman"/>
          <w:color w:val="000000"/>
          <w:sz w:val="24"/>
          <w:szCs w:val="24"/>
          <w:lang w:eastAsia="en-IE"/>
        </w:rPr>
        <w:t xml:space="preserve"> </w:t>
      </w:r>
      <w:r w:rsidRPr="00C73075">
        <w:rPr>
          <w:rFonts w:ascii="Times New Roman" w:hAnsi="Times New Roman" w:cs="Times New Roman"/>
          <w:color w:val="000000"/>
          <w:sz w:val="24"/>
          <w:szCs w:val="24"/>
          <w:lang w:eastAsia="en-IE"/>
        </w:rPr>
        <w:t>700</w:t>
      </w:r>
      <w:r w:rsidRPr="00C73075">
        <w:rPr>
          <w:rFonts w:ascii="Times New Roman" w:hAnsi="Times New Roman" w:cs="Times New Roman"/>
          <w:i/>
          <w:color w:val="000000"/>
          <w:sz w:val="24"/>
          <w:szCs w:val="24"/>
          <w:lang w:eastAsia="en-IE"/>
        </w:rPr>
        <w:t xml:space="preserve"> </w:t>
      </w:r>
      <w:r w:rsidRPr="00C73075">
        <w:rPr>
          <w:rFonts w:ascii="Times New Roman" w:hAnsi="Times New Roman" w:cs="Times New Roman"/>
          <w:color w:val="000000"/>
          <w:sz w:val="24"/>
          <w:szCs w:val="24"/>
          <w:lang w:eastAsia="en-IE"/>
        </w:rPr>
        <w:t>registered partnerships. DAFM is finalising detailed rules to provide for a formal registration mechanism for all types of farm partnerships. It is planned that the formal register will help ensure non-milk producers in farm partnerships are not disadvantaged from DAFM scheme participation and can avail of other State benefits, such as the 50% stock relief from income tax measure, which is currently restricted to MPPs and thus help widen the uptake of this farming model.</w:t>
      </w: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p>
    <w:p w:rsidR="00C73075" w:rsidRPr="00C73075" w:rsidRDefault="00C73075" w:rsidP="00C73075">
      <w:pPr>
        <w:autoSpaceDE w:val="0"/>
        <w:autoSpaceDN w:val="0"/>
        <w:adjustRightInd w:val="0"/>
        <w:spacing w:after="0" w:line="360" w:lineRule="auto"/>
        <w:rPr>
          <w:rFonts w:ascii="Times New Roman" w:hAnsi="Times New Roman" w:cs="Times New Roman"/>
          <w:color w:val="000000"/>
          <w:sz w:val="24"/>
          <w:szCs w:val="24"/>
          <w:lang w:eastAsia="en-IE"/>
        </w:rPr>
      </w:pPr>
      <w:r w:rsidRPr="00C73075">
        <w:rPr>
          <w:rFonts w:ascii="Times New Roman" w:hAnsi="Times New Roman" w:cs="Times New Roman"/>
          <w:color w:val="000000"/>
          <w:sz w:val="24"/>
          <w:szCs w:val="24"/>
          <w:lang w:eastAsia="en-IE"/>
        </w:rPr>
        <w:t>Increasing resources are being deployed in developing and promoting a number of types of collaborative farming models, through mechanisms such as DAFM’s grant aid schemes, Teagasc Advisory Services and a pilot Land Mobility Programme Initiative – a recently established land brokerage service with industry wide support.</w:t>
      </w:r>
    </w:p>
    <w:p w:rsidR="00C73075" w:rsidRDefault="00C73075" w:rsidP="0083147E">
      <w:pPr>
        <w:spacing w:after="0" w:line="240" w:lineRule="auto"/>
        <w:rPr>
          <w:rFonts w:ascii="Times New Roman" w:eastAsia="Times New Roman" w:hAnsi="Times New Roman" w:cs="Times New Roman"/>
          <w:sz w:val="24"/>
          <w:szCs w:val="24"/>
        </w:rPr>
      </w:pPr>
    </w:p>
    <w:p w:rsidR="00C73075" w:rsidRPr="0083147E" w:rsidRDefault="00C73075" w:rsidP="0083147E">
      <w:pPr>
        <w:spacing w:after="0" w:line="240" w:lineRule="auto"/>
        <w:rPr>
          <w:rFonts w:ascii="Times New Roman" w:eastAsia="Times New Roman" w:hAnsi="Times New Roman" w:cs="Times New Roman"/>
          <w:sz w:val="24"/>
          <w:szCs w:val="24"/>
        </w:rPr>
      </w:pPr>
    </w:p>
    <w:p w:rsidR="0086038F" w:rsidRDefault="00783251" w:rsidP="009339E0">
      <w:pPr>
        <w:pStyle w:val="Heading2"/>
        <w:rPr>
          <w:rFonts w:eastAsia="Times New Roman"/>
        </w:rPr>
      </w:pPr>
      <w:bookmarkStart w:id="23" w:name="_Toc399850331"/>
      <w:r>
        <w:rPr>
          <w:rFonts w:eastAsia="Times New Roman"/>
        </w:rPr>
        <w:t>Off farm employment</w:t>
      </w:r>
      <w:bookmarkEnd w:id="23"/>
      <w:r w:rsidR="008E0B31">
        <w:rPr>
          <w:rFonts w:eastAsia="Times New Roman"/>
        </w:rPr>
        <w:t>/farm diversification</w:t>
      </w:r>
    </w:p>
    <w:p w:rsidR="00783251" w:rsidRPr="00062810" w:rsidRDefault="00062810" w:rsidP="0054670C">
      <w:pPr>
        <w:spacing w:after="0" w:line="360" w:lineRule="auto"/>
        <w:rPr>
          <w:rFonts w:ascii="Times New Roman" w:eastAsia="Times New Roman" w:hAnsi="Times New Roman" w:cs="Times New Roman"/>
          <w:sz w:val="24"/>
          <w:szCs w:val="24"/>
        </w:rPr>
      </w:pPr>
      <w:r w:rsidRPr="00062810">
        <w:rPr>
          <w:rFonts w:ascii="Times New Roman" w:eastAsia="Times New Roman" w:hAnsi="Times New Roman" w:cs="Times New Roman"/>
          <w:sz w:val="24"/>
          <w:szCs w:val="24"/>
        </w:rPr>
        <w:t xml:space="preserve">NFS data for 2013 shows that on </w:t>
      </w:r>
      <w:r w:rsidR="008825F0">
        <w:rPr>
          <w:rFonts w:ascii="Times New Roman" w:eastAsia="Times New Roman" w:hAnsi="Times New Roman" w:cs="Times New Roman"/>
          <w:sz w:val="24"/>
          <w:szCs w:val="24"/>
        </w:rPr>
        <w:t>29</w:t>
      </w:r>
      <w:r w:rsidRPr="00062810">
        <w:rPr>
          <w:rFonts w:ascii="Times New Roman" w:eastAsia="Times New Roman" w:hAnsi="Times New Roman" w:cs="Times New Roman"/>
          <w:sz w:val="24"/>
          <w:szCs w:val="24"/>
        </w:rPr>
        <w:t>% of farms, the farm holder had an off-farm job, while on 3</w:t>
      </w:r>
      <w:r w:rsidR="008825F0">
        <w:rPr>
          <w:rFonts w:ascii="Times New Roman" w:eastAsia="Times New Roman" w:hAnsi="Times New Roman" w:cs="Times New Roman"/>
          <w:sz w:val="24"/>
          <w:szCs w:val="24"/>
        </w:rPr>
        <w:t>6</w:t>
      </w:r>
      <w:r w:rsidRPr="00062810">
        <w:rPr>
          <w:rFonts w:ascii="Times New Roman" w:eastAsia="Times New Roman" w:hAnsi="Times New Roman" w:cs="Times New Roman"/>
          <w:sz w:val="24"/>
          <w:szCs w:val="24"/>
        </w:rPr>
        <w:t xml:space="preserve">% of farms, the spouse had an off-farm job. In 51% of farm households either the holder and/or spouse had an off-farm job.  On drystock farms the holder is more likely to have an off-farm job, while on dairy farms, the spouse is </w:t>
      </w:r>
      <w:r w:rsidR="00503CDA">
        <w:rPr>
          <w:rFonts w:ascii="Times New Roman" w:eastAsia="Times New Roman" w:hAnsi="Times New Roman" w:cs="Times New Roman"/>
          <w:sz w:val="24"/>
          <w:szCs w:val="24"/>
        </w:rPr>
        <w:t xml:space="preserve">much </w:t>
      </w:r>
      <w:r w:rsidRPr="00062810">
        <w:rPr>
          <w:rFonts w:ascii="Times New Roman" w:eastAsia="Times New Roman" w:hAnsi="Times New Roman" w:cs="Times New Roman"/>
          <w:sz w:val="24"/>
          <w:szCs w:val="24"/>
        </w:rPr>
        <w:t xml:space="preserve">more likely to have an off-farm job.  </w:t>
      </w:r>
    </w:p>
    <w:p w:rsidR="003E75DA" w:rsidRDefault="003E75DA" w:rsidP="0086038F">
      <w:pPr>
        <w:spacing w:after="0" w:line="240" w:lineRule="auto"/>
        <w:rPr>
          <w:rFonts w:ascii="Times New Roman" w:eastAsia="Times New Roman" w:hAnsi="Times New Roman" w:cs="Times New Roman"/>
          <w:b/>
          <w:sz w:val="24"/>
          <w:szCs w:val="24"/>
        </w:rPr>
      </w:pPr>
    </w:p>
    <w:p w:rsidR="00E019BD" w:rsidRDefault="00E019BD">
      <w:pPr>
        <w:rPr>
          <w:rFonts w:ascii="Times New Roman" w:eastAsia="Times New Roman" w:hAnsi="Times New Roman"/>
          <w:b/>
          <w:i/>
          <w:color w:val="2E74B5" w:themeColor="accent1" w:themeShade="BF"/>
          <w:spacing w:val="5"/>
          <w:sz w:val="24"/>
          <w:szCs w:val="24"/>
        </w:rPr>
      </w:pPr>
      <w:r>
        <w:rPr>
          <w:rFonts w:eastAsia="Times New Roman"/>
        </w:rPr>
        <w:br w:type="page"/>
      </w:r>
    </w:p>
    <w:p w:rsidR="003E75DA" w:rsidRPr="00062810" w:rsidRDefault="00062810" w:rsidP="00062810">
      <w:pPr>
        <w:pStyle w:val="Heading3"/>
        <w:rPr>
          <w:rFonts w:eastAsia="Times New Roman"/>
        </w:rPr>
      </w:pPr>
      <w:r w:rsidRPr="00062810">
        <w:rPr>
          <w:rFonts w:eastAsia="Times New Roman"/>
        </w:rPr>
        <w:lastRenderedPageBreak/>
        <w:t>Off-farm employment, NFS 2013</w:t>
      </w:r>
    </w:p>
    <w:p w:rsidR="00783251" w:rsidRDefault="003E75DA" w:rsidP="0086038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en-IE"/>
        </w:rPr>
        <w:drawing>
          <wp:inline distT="0" distB="0" distL="0" distR="0">
            <wp:extent cx="4352925" cy="2454399"/>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54349" cy="2455202"/>
                    </a:xfrm>
                    <a:prstGeom prst="rect">
                      <a:avLst/>
                    </a:prstGeom>
                    <a:noFill/>
                  </pic:spPr>
                </pic:pic>
              </a:graphicData>
            </a:graphic>
          </wp:inline>
        </w:drawing>
      </w:r>
    </w:p>
    <w:p w:rsidR="00062810" w:rsidRDefault="00062810" w:rsidP="0086038F">
      <w:pPr>
        <w:spacing w:after="0" w:line="240" w:lineRule="auto"/>
        <w:rPr>
          <w:rFonts w:ascii="Times New Roman" w:eastAsia="Times New Roman" w:hAnsi="Times New Roman" w:cs="Times New Roman"/>
          <w:b/>
          <w:sz w:val="24"/>
          <w:szCs w:val="24"/>
        </w:rPr>
      </w:pPr>
    </w:p>
    <w:p w:rsidR="00E019BD" w:rsidRDefault="00E019BD" w:rsidP="009339E0">
      <w:pPr>
        <w:spacing w:after="0" w:line="360" w:lineRule="auto"/>
        <w:rPr>
          <w:rFonts w:ascii="Times New Roman" w:eastAsia="Times New Roman" w:hAnsi="Times New Roman" w:cs="Times New Roman"/>
          <w:sz w:val="24"/>
          <w:szCs w:val="24"/>
        </w:rPr>
      </w:pPr>
    </w:p>
    <w:p w:rsidR="008E0B31" w:rsidRPr="009339E0" w:rsidRDefault="008E0B31" w:rsidP="009339E0">
      <w:pPr>
        <w:spacing w:after="0" w:line="360" w:lineRule="auto"/>
        <w:rPr>
          <w:rFonts w:ascii="Times New Roman" w:eastAsia="Times New Roman" w:hAnsi="Times New Roman" w:cs="Times New Roman"/>
          <w:sz w:val="24"/>
          <w:szCs w:val="24"/>
        </w:rPr>
      </w:pPr>
      <w:r w:rsidRPr="009339E0">
        <w:rPr>
          <w:rFonts w:ascii="Times New Roman" w:eastAsia="Times New Roman" w:hAnsi="Times New Roman" w:cs="Times New Roman"/>
          <w:sz w:val="24"/>
          <w:szCs w:val="24"/>
        </w:rPr>
        <w:t xml:space="preserve">Traditionally, farm diversification has been seen as introducing a new enterprise on farms, such as agri-tourism, or the introduction of alternative farm enterprises. Advisory service now take a more holistic approach to farm diversification, analysing the skills of the farm family and the resources available, and coming up with a workable plan to improve farm household income. This might involve off-farm employment, starting up alternative on-farm enterprises, or innovative approaches to maximising existing farm enterprises through innovative approaches such as </w:t>
      </w:r>
      <w:r w:rsidR="00C73075" w:rsidRPr="009339E0">
        <w:rPr>
          <w:rFonts w:ascii="Times New Roman" w:eastAsia="Times New Roman" w:hAnsi="Times New Roman" w:cs="Times New Roman"/>
          <w:sz w:val="24"/>
          <w:szCs w:val="24"/>
        </w:rPr>
        <w:t>collaborative farming</w:t>
      </w:r>
      <w:r w:rsidRPr="009339E0">
        <w:rPr>
          <w:rFonts w:ascii="Times New Roman" w:eastAsia="Times New Roman" w:hAnsi="Times New Roman" w:cs="Times New Roman"/>
          <w:sz w:val="24"/>
          <w:szCs w:val="24"/>
        </w:rPr>
        <w:t>. Teagasc’s Options programme and other advisory services are supporting farm families in exploring new ways to improve household income.</w:t>
      </w:r>
    </w:p>
    <w:p w:rsidR="00503CDA" w:rsidRPr="009339E0" w:rsidRDefault="00503CDA" w:rsidP="0086038F">
      <w:pPr>
        <w:spacing w:after="0" w:line="240" w:lineRule="auto"/>
        <w:rPr>
          <w:rFonts w:ascii="Times New Roman" w:eastAsia="Times New Roman" w:hAnsi="Times New Roman" w:cs="Times New Roman"/>
          <w:sz w:val="24"/>
          <w:szCs w:val="24"/>
        </w:rPr>
      </w:pPr>
    </w:p>
    <w:p w:rsidR="009339E0" w:rsidRDefault="009339E0">
      <w:pPr>
        <w:rPr>
          <w:rFonts w:ascii="Times New Roman" w:hAnsi="Times New Roman"/>
          <w:b/>
          <w:smallCaps/>
          <w:color w:val="1F4E79" w:themeColor="accent1" w:themeShade="80"/>
          <w:spacing w:val="5"/>
          <w:sz w:val="32"/>
          <w:szCs w:val="32"/>
          <w:u w:val="double" w:color="222A35" w:themeColor="text2" w:themeShade="80"/>
        </w:rPr>
      </w:pPr>
      <w:r>
        <w:br w:type="page"/>
      </w:r>
    </w:p>
    <w:p w:rsidR="00BC3E9D" w:rsidRPr="00BC3E9D" w:rsidRDefault="001C01EA" w:rsidP="00BC3E9D">
      <w:pPr>
        <w:pStyle w:val="Heading1"/>
      </w:pPr>
      <w:r w:rsidRPr="00BC3E9D">
        <w:lastRenderedPageBreak/>
        <w:t>AGRI TAXATION</w:t>
      </w:r>
      <w:r w:rsidR="00BC3E9D" w:rsidRPr="00BC3E9D">
        <w:t xml:space="preserve"> and the Agri-taxation Review</w:t>
      </w:r>
    </w:p>
    <w:p w:rsidR="00BC3E9D" w:rsidRDefault="00BC3E9D" w:rsidP="00BC3E9D">
      <w:pPr>
        <w:spacing w:after="0" w:line="360" w:lineRule="auto"/>
        <w:rPr>
          <w:rFonts w:ascii="Times New Roman" w:hAnsi="Times New Roman" w:cs="Times New Roman"/>
          <w:sz w:val="24"/>
          <w:szCs w:val="24"/>
        </w:rPr>
      </w:pPr>
    </w:p>
    <w:p w:rsidR="004B1C0B" w:rsidRPr="004B1C0B" w:rsidRDefault="004B1C0B" w:rsidP="00BC3E9D">
      <w:pPr>
        <w:spacing w:after="0" w:line="360" w:lineRule="auto"/>
        <w:rPr>
          <w:rFonts w:ascii="Times New Roman" w:hAnsi="Times New Roman" w:cs="Times New Roman"/>
          <w:b/>
          <w:color w:val="1F4E79" w:themeColor="accent1" w:themeShade="80"/>
          <w:sz w:val="28"/>
          <w:szCs w:val="28"/>
          <w:u w:val="single"/>
        </w:rPr>
      </w:pPr>
      <w:r w:rsidRPr="004B1C0B">
        <w:rPr>
          <w:rFonts w:ascii="Times New Roman" w:hAnsi="Times New Roman" w:cs="Times New Roman"/>
          <w:b/>
          <w:color w:val="1F4E79" w:themeColor="accent1" w:themeShade="80"/>
          <w:sz w:val="28"/>
          <w:szCs w:val="28"/>
          <w:u w:val="single"/>
        </w:rPr>
        <w:t>Background</w:t>
      </w:r>
    </w:p>
    <w:p w:rsidR="00BC3E9D" w:rsidRPr="00BC3E9D" w:rsidRDefault="00BC3E9D" w:rsidP="00BC3E9D">
      <w:p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The Agri-taxation Review is a comprehensive examination of agri-taxation measures, which are a critical element of Government support to the primary agriculture sector. The Review, a joint initiative by the Departments of Finance and Agriculture, Food and the Marine, was published as part of Budget 2015. </w:t>
      </w:r>
    </w:p>
    <w:p w:rsidR="00BC3E9D" w:rsidRPr="00BC3E9D" w:rsidRDefault="00BC3E9D" w:rsidP="00BC3E9D">
      <w:pPr>
        <w:spacing w:after="0" w:line="360" w:lineRule="auto"/>
        <w:rPr>
          <w:rFonts w:ascii="Times New Roman" w:hAnsi="Times New Roman" w:cs="Times New Roman"/>
          <w:sz w:val="24"/>
          <w:szCs w:val="24"/>
        </w:rPr>
      </w:pPr>
    </w:p>
    <w:p w:rsidR="00BC3E9D" w:rsidRPr="00BC3E9D" w:rsidRDefault="00BC3E9D" w:rsidP="00BC3E9D">
      <w:p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Taxation policy for the sector and the resultant taxation measures have grown incrementally over many years and the Review presented a unique opportunity to examine this policy in the context of the strategy of expansion and increasing exports under Food Harvest 2020. The Review provides a strong evidence base for continued assistance to the primary sector through taxation measures and sets out a clear strategy with three new specific policy objectives for the future. </w:t>
      </w:r>
    </w:p>
    <w:p w:rsidR="00BC3E9D" w:rsidRPr="00BC3E9D" w:rsidRDefault="00BC3E9D" w:rsidP="00BC3E9D">
      <w:pPr>
        <w:spacing w:after="0" w:line="360" w:lineRule="auto"/>
        <w:rPr>
          <w:rFonts w:ascii="Times New Roman" w:hAnsi="Times New Roman" w:cs="Times New Roman"/>
          <w:sz w:val="24"/>
          <w:szCs w:val="24"/>
        </w:rPr>
      </w:pPr>
    </w:p>
    <w:p w:rsidR="00BC3E9D" w:rsidRPr="004B1C0B" w:rsidRDefault="00BC3E9D" w:rsidP="00BC3E9D">
      <w:pPr>
        <w:spacing w:after="0" w:line="360" w:lineRule="auto"/>
        <w:rPr>
          <w:rFonts w:ascii="Times New Roman" w:hAnsi="Times New Roman" w:cs="Times New Roman"/>
          <w:b/>
          <w:color w:val="1F4E79" w:themeColor="accent1" w:themeShade="80"/>
          <w:sz w:val="28"/>
          <w:szCs w:val="28"/>
          <w:u w:val="single"/>
        </w:rPr>
      </w:pPr>
      <w:r w:rsidRPr="004B1C0B">
        <w:rPr>
          <w:rFonts w:ascii="Times New Roman" w:hAnsi="Times New Roman" w:cs="Times New Roman"/>
          <w:b/>
          <w:color w:val="1F4E79" w:themeColor="accent1" w:themeShade="80"/>
          <w:sz w:val="28"/>
          <w:szCs w:val="28"/>
          <w:u w:val="single"/>
        </w:rPr>
        <w:t>Policy objective 1: Increase the mobility and the productive use of land</w:t>
      </w:r>
    </w:p>
    <w:p w:rsidR="00BC3E9D" w:rsidRPr="00BC3E9D" w:rsidRDefault="00BC3E9D" w:rsidP="00BC3E9D">
      <w:p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The first main policy objective of agri-taxation is to increase land mobility and the productive use of land. Access to land and the low level of land mobility is one of the main challenges facing farmers who want to increase their productivity. There is a growing consensus that access to land, and its productive use, is becoming more of an issue than ownership. While there is an active rental market, the majority of these cases are for short-term conacre lettings. Long-term leasing has a number of advantages over the conacre system, it allows progressive farmers to enlarge their farm holdings and increase productivity and also:</w:t>
      </w:r>
    </w:p>
    <w:p w:rsidR="00BC3E9D" w:rsidRPr="00BC3E9D" w:rsidRDefault="00BC3E9D" w:rsidP="009339E0">
      <w:pPr>
        <w:pStyle w:val="ListParagraph"/>
        <w:numPr>
          <w:ilvl w:val="0"/>
          <w:numId w:val="14"/>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Allows young farmers and new entrants to the sector gain access to land by providing a cheaper means of long-term access to land, as opposed to the relatively high cost of land purchase.</w:t>
      </w:r>
    </w:p>
    <w:p w:rsidR="00BC3E9D" w:rsidRPr="00BC3E9D" w:rsidRDefault="00BC3E9D" w:rsidP="009339E0">
      <w:pPr>
        <w:pStyle w:val="ListParagraph"/>
        <w:numPr>
          <w:ilvl w:val="0"/>
          <w:numId w:val="14"/>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Provides security of tenure and the certainty required to encourage lessees to maintain and make investments in improving land. </w:t>
      </w:r>
    </w:p>
    <w:p w:rsidR="00BC3E9D" w:rsidRPr="00BC3E9D" w:rsidRDefault="00BC3E9D" w:rsidP="009339E0">
      <w:pPr>
        <w:pStyle w:val="ListParagraph"/>
        <w:numPr>
          <w:ilvl w:val="0"/>
          <w:numId w:val="14"/>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Is especially important in accessing bank credit (financial institutions generally match loan terms to lease duration and longer duration allows for phased repayment on capital investment). </w:t>
      </w:r>
    </w:p>
    <w:p w:rsidR="00BC3E9D" w:rsidRPr="00BC3E9D" w:rsidRDefault="00BC3E9D" w:rsidP="009339E0">
      <w:pPr>
        <w:pStyle w:val="ListParagraph"/>
        <w:numPr>
          <w:ilvl w:val="0"/>
          <w:numId w:val="14"/>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Provides a route to retirement for older farmers, assisting in generation renewal.</w:t>
      </w:r>
    </w:p>
    <w:p w:rsidR="00BC3E9D" w:rsidRPr="00BC3E9D" w:rsidRDefault="00BC3E9D" w:rsidP="00BC3E9D">
      <w:pPr>
        <w:spacing w:after="0" w:line="360" w:lineRule="auto"/>
        <w:rPr>
          <w:rFonts w:ascii="Times New Roman" w:hAnsi="Times New Roman" w:cs="Times New Roman"/>
          <w:sz w:val="24"/>
          <w:szCs w:val="24"/>
        </w:rPr>
      </w:pPr>
    </w:p>
    <w:p w:rsidR="00BC3E9D" w:rsidRPr="00BC3E9D" w:rsidRDefault="00BC3E9D" w:rsidP="00BC3E9D">
      <w:pPr>
        <w:spacing w:after="0" w:line="360" w:lineRule="auto"/>
        <w:rPr>
          <w:rFonts w:ascii="Times New Roman" w:hAnsi="Times New Roman" w:cs="Times New Roman"/>
          <w:sz w:val="24"/>
          <w:szCs w:val="24"/>
        </w:rPr>
      </w:pPr>
      <w:r w:rsidRPr="00BC3E9D">
        <w:rPr>
          <w:rFonts w:ascii="Times New Roman" w:hAnsi="Times New Roman" w:cs="Times New Roman"/>
          <w:sz w:val="24"/>
          <w:szCs w:val="24"/>
        </w:rPr>
        <w:lastRenderedPageBreak/>
        <w:t>The existing relief for income from leasing of farm land is retained and five new measures to assist in rebalancing the market in favour of longer-term leases were introduced in Budget 2015:</w:t>
      </w:r>
    </w:p>
    <w:p w:rsidR="00BC3E9D" w:rsidRPr="00BC3E9D" w:rsidRDefault="00BC3E9D" w:rsidP="009339E0">
      <w:pPr>
        <w:pStyle w:val="ListParagraph"/>
        <w:numPr>
          <w:ilvl w:val="0"/>
          <w:numId w:val="9"/>
        </w:numPr>
        <w:spacing w:after="0" w:line="360" w:lineRule="auto"/>
        <w:contextualSpacing w:val="0"/>
        <w:rPr>
          <w:rFonts w:ascii="Times New Roman" w:hAnsi="Times New Roman" w:cs="Times New Roman"/>
          <w:sz w:val="24"/>
          <w:szCs w:val="24"/>
        </w:rPr>
      </w:pPr>
      <w:r w:rsidRPr="00BC3E9D">
        <w:rPr>
          <w:rFonts w:ascii="Times New Roman" w:hAnsi="Times New Roman" w:cs="Times New Roman"/>
          <w:sz w:val="24"/>
          <w:szCs w:val="24"/>
        </w:rPr>
        <w:t>An increase of 50% in the thresholds of relief for long-term leasing income.</w:t>
      </w:r>
    </w:p>
    <w:p w:rsidR="00BC3E9D" w:rsidRPr="00BC3E9D" w:rsidRDefault="00BC3E9D" w:rsidP="009339E0">
      <w:pPr>
        <w:pStyle w:val="ListParagraph"/>
        <w:numPr>
          <w:ilvl w:val="0"/>
          <w:numId w:val="9"/>
        </w:numPr>
        <w:spacing w:after="0" w:line="360" w:lineRule="auto"/>
        <w:contextualSpacing w:val="0"/>
        <w:rPr>
          <w:rFonts w:ascii="Times New Roman" w:hAnsi="Times New Roman" w:cs="Times New Roman"/>
          <w:sz w:val="24"/>
          <w:szCs w:val="24"/>
        </w:rPr>
      </w:pPr>
      <w:r w:rsidRPr="00BC3E9D">
        <w:rPr>
          <w:rFonts w:ascii="Times New Roman" w:hAnsi="Times New Roman" w:cs="Times New Roman"/>
          <w:sz w:val="24"/>
          <w:szCs w:val="24"/>
        </w:rPr>
        <w:t xml:space="preserve">The introduction of a fourth threshold for lease periods of 15 or more years. </w:t>
      </w:r>
    </w:p>
    <w:p w:rsidR="00BC3E9D" w:rsidRPr="00BC3E9D" w:rsidRDefault="00BC3E9D" w:rsidP="009339E0">
      <w:pPr>
        <w:pStyle w:val="ListParagraph"/>
        <w:numPr>
          <w:ilvl w:val="0"/>
          <w:numId w:val="9"/>
        </w:numPr>
        <w:spacing w:after="0" w:line="360" w:lineRule="auto"/>
        <w:contextualSpacing w:val="0"/>
        <w:rPr>
          <w:rFonts w:ascii="Times New Roman" w:hAnsi="Times New Roman" w:cs="Times New Roman"/>
          <w:sz w:val="24"/>
          <w:szCs w:val="24"/>
        </w:rPr>
      </w:pPr>
      <w:r w:rsidRPr="00BC3E9D">
        <w:rPr>
          <w:rFonts w:ascii="Times New Roman" w:hAnsi="Times New Roman" w:cs="Times New Roman"/>
          <w:sz w:val="24"/>
          <w:szCs w:val="24"/>
        </w:rPr>
        <w:t>The removal of the lower age threshold of 40 years for long-term leasing relief eligibility.</w:t>
      </w:r>
    </w:p>
    <w:p w:rsidR="00BC3E9D" w:rsidRPr="00BC3E9D" w:rsidRDefault="00BC3E9D" w:rsidP="009339E0">
      <w:pPr>
        <w:pStyle w:val="ListParagraph"/>
        <w:numPr>
          <w:ilvl w:val="0"/>
          <w:numId w:val="9"/>
        </w:numPr>
        <w:spacing w:after="0" w:line="360" w:lineRule="auto"/>
        <w:contextualSpacing w:val="0"/>
        <w:rPr>
          <w:rFonts w:ascii="Times New Roman" w:hAnsi="Times New Roman" w:cs="Times New Roman"/>
          <w:sz w:val="24"/>
          <w:szCs w:val="24"/>
        </w:rPr>
      </w:pPr>
      <w:r w:rsidRPr="00BC3E9D">
        <w:rPr>
          <w:rFonts w:ascii="Times New Roman" w:hAnsi="Times New Roman" w:cs="Times New Roman"/>
          <w:sz w:val="24"/>
          <w:szCs w:val="24"/>
        </w:rPr>
        <w:t>The inclusion of non-connected limited companies as an eligible lessee for long-term leasing relief.</w:t>
      </w:r>
    </w:p>
    <w:p w:rsidR="00BC3E9D" w:rsidRPr="00BC3E9D" w:rsidRDefault="00BC3E9D" w:rsidP="009339E0">
      <w:pPr>
        <w:pStyle w:val="ListParagraph"/>
        <w:numPr>
          <w:ilvl w:val="0"/>
          <w:numId w:val="9"/>
        </w:numPr>
        <w:spacing w:after="0" w:line="360" w:lineRule="auto"/>
        <w:contextualSpacing w:val="0"/>
        <w:rPr>
          <w:rFonts w:ascii="Times New Roman" w:hAnsi="Times New Roman" w:cs="Times New Roman"/>
          <w:sz w:val="24"/>
          <w:szCs w:val="24"/>
        </w:rPr>
      </w:pPr>
      <w:r w:rsidRPr="00BC3E9D">
        <w:rPr>
          <w:rFonts w:ascii="Times New Roman" w:hAnsi="Times New Roman" w:cs="Times New Roman"/>
          <w:sz w:val="24"/>
          <w:szCs w:val="24"/>
        </w:rPr>
        <w:t>The relief of stamp duty on long-term leases (5 years or more).</w:t>
      </w:r>
    </w:p>
    <w:p w:rsidR="00BC3E9D" w:rsidRPr="00BC3E9D" w:rsidRDefault="00BC3E9D" w:rsidP="00BC3E9D">
      <w:pPr>
        <w:spacing w:after="0" w:line="360" w:lineRule="auto"/>
        <w:rPr>
          <w:rFonts w:ascii="Times New Roman" w:hAnsi="Times New Roman" w:cs="Times New Roman"/>
          <w:sz w:val="24"/>
          <w:szCs w:val="24"/>
        </w:rPr>
      </w:pPr>
    </w:p>
    <w:p w:rsidR="00BC3E9D" w:rsidRPr="00BC3E9D" w:rsidRDefault="00BC3E9D" w:rsidP="00BC3E9D">
      <w:pPr>
        <w:keepNext/>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Some key facts on land mobility and access to land:</w:t>
      </w:r>
    </w:p>
    <w:p w:rsidR="00BC3E9D" w:rsidRPr="00BC3E9D" w:rsidRDefault="00BC3E9D" w:rsidP="009339E0">
      <w:pPr>
        <w:keepNext/>
        <w:numPr>
          <w:ilvl w:val="0"/>
          <w:numId w:val="16"/>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Less than 0.5% of the total land area is currently sold per annum.</w:t>
      </w:r>
    </w:p>
    <w:p w:rsidR="00BC3E9D" w:rsidRPr="00BC3E9D" w:rsidRDefault="00BC3E9D" w:rsidP="009339E0">
      <w:pPr>
        <w:keepNext/>
        <w:numPr>
          <w:ilvl w:val="0"/>
          <w:numId w:val="16"/>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Nearly 54,000 farmers (or 41% of farms) rent or lease land from other land owners. </w:t>
      </w:r>
    </w:p>
    <w:p w:rsidR="00BC3E9D" w:rsidRPr="00BC3E9D" w:rsidRDefault="00BC3E9D" w:rsidP="009339E0">
      <w:pPr>
        <w:keepNext/>
        <w:numPr>
          <w:ilvl w:val="0"/>
          <w:numId w:val="16"/>
        </w:numPr>
        <w:pBdr>
          <w:top w:val="single" w:sz="4" w:space="1" w:color="auto"/>
          <w:left w:val="single" w:sz="4" w:space="4" w:color="auto"/>
          <w:bottom w:val="single" w:sz="4" w:space="1" w:color="auto"/>
          <w:right w:val="single" w:sz="4" w:space="4" w:color="auto"/>
        </w:pBdr>
        <w:spacing w:after="0" w:line="360" w:lineRule="auto"/>
        <w:contextualSpacing/>
        <w:rPr>
          <w:rFonts w:ascii="Times New Roman" w:hAnsi="Times New Roman" w:cs="Times New Roman"/>
          <w:sz w:val="24"/>
          <w:szCs w:val="24"/>
        </w:rPr>
      </w:pPr>
      <w:r w:rsidRPr="00BC3E9D">
        <w:rPr>
          <w:rFonts w:ascii="Times New Roman" w:hAnsi="Times New Roman" w:cs="Times New Roman"/>
          <w:sz w:val="24"/>
          <w:szCs w:val="24"/>
        </w:rPr>
        <w:t>The vast majority of these cases are for short-term conacre (11 month) lettings.</w:t>
      </w:r>
    </w:p>
    <w:p w:rsidR="00BC3E9D" w:rsidRPr="00BC3E9D" w:rsidRDefault="00BC3E9D" w:rsidP="00BC3E9D">
      <w:pPr>
        <w:spacing w:after="0" w:line="360" w:lineRule="auto"/>
        <w:rPr>
          <w:rFonts w:ascii="Times New Roman" w:hAnsi="Times New Roman" w:cs="Times New Roman"/>
          <w:sz w:val="24"/>
          <w:szCs w:val="24"/>
        </w:rPr>
      </w:pPr>
    </w:p>
    <w:p w:rsidR="00BC3E9D" w:rsidRPr="004B1C0B" w:rsidRDefault="00BC3E9D" w:rsidP="00BC3E9D">
      <w:pPr>
        <w:spacing w:after="0" w:line="360" w:lineRule="auto"/>
        <w:rPr>
          <w:rFonts w:ascii="Times New Roman" w:hAnsi="Times New Roman" w:cs="Times New Roman"/>
          <w:b/>
          <w:color w:val="1F4E79" w:themeColor="accent1" w:themeShade="80"/>
          <w:sz w:val="28"/>
          <w:szCs w:val="28"/>
          <w:u w:val="single"/>
        </w:rPr>
      </w:pPr>
      <w:r w:rsidRPr="004B1C0B">
        <w:rPr>
          <w:rFonts w:ascii="Times New Roman" w:hAnsi="Times New Roman" w:cs="Times New Roman"/>
          <w:b/>
          <w:color w:val="1F4E79" w:themeColor="accent1" w:themeShade="80"/>
          <w:sz w:val="28"/>
          <w:szCs w:val="28"/>
          <w:u w:val="single"/>
        </w:rPr>
        <w:t xml:space="preserve">Policy </w:t>
      </w:r>
      <w:r w:rsidR="004B1C0B">
        <w:rPr>
          <w:rFonts w:ascii="Times New Roman" w:hAnsi="Times New Roman" w:cs="Times New Roman"/>
          <w:b/>
          <w:color w:val="1F4E79" w:themeColor="accent1" w:themeShade="80"/>
          <w:sz w:val="28"/>
          <w:szCs w:val="28"/>
          <w:u w:val="single"/>
        </w:rPr>
        <w:t>objective 2: Assist succession</w:t>
      </w:r>
    </w:p>
    <w:p w:rsidR="004B1C0B" w:rsidRDefault="00BC3E9D" w:rsidP="00BC3E9D">
      <w:pPr>
        <w:spacing w:after="0" w:line="360" w:lineRule="auto"/>
        <w:contextualSpacing/>
        <w:rPr>
          <w:rFonts w:ascii="Times New Roman" w:hAnsi="Times New Roman" w:cs="Times New Roman"/>
          <w:sz w:val="24"/>
          <w:szCs w:val="24"/>
          <w:lang w:eastAsia="en-IE"/>
        </w:rPr>
      </w:pPr>
      <w:r w:rsidRPr="00BC3E9D">
        <w:rPr>
          <w:rFonts w:ascii="Times New Roman" w:hAnsi="Times New Roman" w:cs="Times New Roman"/>
          <w:sz w:val="24"/>
          <w:szCs w:val="24"/>
        </w:rPr>
        <w:t xml:space="preserve">The second main policy objective of agri-taxation is to assist succession. The age profile of Irish farmers is increasing and it is recognised that there are many social and economic reasons why succession management is a challenge for farmers. Assisting succession and the transfer of farms has been a central part of the Government’s agri-taxation policy and Budget 2015 included a number of measures to maintain and strengthen that support, specifically the retention of </w:t>
      </w:r>
      <w:r w:rsidRPr="00BC3E9D">
        <w:rPr>
          <w:rFonts w:ascii="Times New Roman" w:hAnsi="Times New Roman" w:cs="Times New Roman"/>
          <w:sz w:val="24"/>
          <w:szCs w:val="24"/>
          <w:lang w:eastAsia="en-IE"/>
        </w:rPr>
        <w:t xml:space="preserve">Agricultural Relief from Capital Acquisitions Tax, Retirement Relief from Capital Gains Tax and the current stamp duty exemptions on transfers of land. </w:t>
      </w:r>
    </w:p>
    <w:p w:rsidR="004B1C0B" w:rsidRDefault="004B1C0B" w:rsidP="00BC3E9D">
      <w:pPr>
        <w:spacing w:after="0" w:line="360" w:lineRule="auto"/>
        <w:contextualSpacing/>
        <w:rPr>
          <w:rFonts w:ascii="Times New Roman" w:hAnsi="Times New Roman" w:cs="Times New Roman"/>
          <w:sz w:val="24"/>
          <w:szCs w:val="24"/>
          <w:lang w:eastAsia="en-IE"/>
        </w:rPr>
      </w:pPr>
    </w:p>
    <w:p w:rsidR="00BC3E9D" w:rsidRPr="00BC3E9D" w:rsidRDefault="00BC3E9D" w:rsidP="00BC3E9D">
      <w:pPr>
        <w:spacing w:after="0" w:line="360" w:lineRule="auto"/>
        <w:contextualSpacing/>
        <w:rPr>
          <w:rFonts w:ascii="Times New Roman" w:hAnsi="Times New Roman" w:cs="Times New Roman"/>
          <w:sz w:val="24"/>
          <w:szCs w:val="24"/>
        </w:rPr>
      </w:pPr>
      <w:r w:rsidRPr="00BC3E9D">
        <w:rPr>
          <w:rFonts w:ascii="Times New Roman" w:hAnsi="Times New Roman" w:cs="Times New Roman"/>
          <w:sz w:val="24"/>
          <w:szCs w:val="24"/>
          <w:lang w:eastAsia="en-IE"/>
        </w:rPr>
        <w:t xml:space="preserve">Four </w:t>
      </w:r>
      <w:r w:rsidRPr="00BC3E9D">
        <w:rPr>
          <w:rFonts w:ascii="Times New Roman" w:hAnsi="Times New Roman" w:cs="Times New Roman"/>
          <w:sz w:val="24"/>
          <w:szCs w:val="24"/>
        </w:rPr>
        <w:t>new measures were introduced in Budget 2015:</w:t>
      </w:r>
    </w:p>
    <w:p w:rsidR="00BC3E9D" w:rsidRPr="00BC3E9D" w:rsidRDefault="00BC3E9D" w:rsidP="009339E0">
      <w:pPr>
        <w:pStyle w:val="ListParagraph"/>
        <w:numPr>
          <w:ilvl w:val="0"/>
          <w:numId w:val="10"/>
        </w:numPr>
        <w:spacing w:after="0" w:line="360" w:lineRule="auto"/>
        <w:contextualSpacing w:val="0"/>
        <w:rPr>
          <w:rFonts w:ascii="Times New Roman" w:hAnsi="Times New Roman" w:cs="Times New Roman"/>
          <w:sz w:val="24"/>
          <w:szCs w:val="24"/>
          <w:lang w:eastAsia="en-IE"/>
        </w:rPr>
      </w:pPr>
      <w:r w:rsidRPr="00BC3E9D">
        <w:rPr>
          <w:rFonts w:ascii="Times New Roman" w:hAnsi="Times New Roman" w:cs="Times New Roman"/>
          <w:sz w:val="24"/>
          <w:szCs w:val="24"/>
          <w:lang w:eastAsia="en-IE"/>
        </w:rPr>
        <w:t xml:space="preserve">A targeting of Agricultural Relief from Capital Acquisitions Tax to qualified or full-time farmers or to those who lease land out on a long-term basis. </w:t>
      </w:r>
      <w:r w:rsidRPr="00BC3E9D">
        <w:rPr>
          <w:rFonts w:ascii="Times New Roman" w:hAnsi="Times New Roman" w:cs="Times New Roman"/>
          <w:sz w:val="24"/>
          <w:szCs w:val="24"/>
        </w:rPr>
        <w:t>Non-farmers who may have qualified for Agriculture Relief under the less restrictive criteria will not now qualify.</w:t>
      </w:r>
    </w:p>
    <w:p w:rsidR="00BC3E9D" w:rsidRPr="00BC3E9D" w:rsidRDefault="00BC3E9D" w:rsidP="009339E0">
      <w:pPr>
        <w:pStyle w:val="ListParagraph"/>
        <w:numPr>
          <w:ilvl w:val="0"/>
          <w:numId w:val="10"/>
        </w:numPr>
        <w:spacing w:after="0" w:line="360" w:lineRule="auto"/>
        <w:contextualSpacing w:val="0"/>
        <w:rPr>
          <w:rFonts w:ascii="Times New Roman" w:hAnsi="Times New Roman" w:cs="Times New Roman"/>
          <w:sz w:val="24"/>
          <w:szCs w:val="24"/>
          <w:lang w:eastAsia="en-IE"/>
        </w:rPr>
      </w:pPr>
      <w:r w:rsidRPr="00BC3E9D">
        <w:rPr>
          <w:rFonts w:ascii="Times New Roman" w:hAnsi="Times New Roman" w:cs="Times New Roman"/>
          <w:sz w:val="24"/>
          <w:szCs w:val="24"/>
          <w:lang w:eastAsia="en-IE"/>
        </w:rPr>
        <w:t>For transfers under Retirement Relief, the extension of the eligible letting period of a qualifying asset to 25 years. This is mainly for family situations where successors are too young to take over a farming business.</w:t>
      </w:r>
    </w:p>
    <w:p w:rsidR="00BC3E9D" w:rsidRPr="00BC3E9D" w:rsidRDefault="00BC3E9D" w:rsidP="009339E0">
      <w:pPr>
        <w:numPr>
          <w:ilvl w:val="0"/>
          <w:numId w:val="15"/>
        </w:numPr>
        <w:spacing w:after="0" w:line="360" w:lineRule="auto"/>
        <w:rPr>
          <w:rFonts w:ascii="Times New Roman" w:hAnsi="Times New Roman" w:cs="Times New Roman"/>
          <w:sz w:val="24"/>
          <w:szCs w:val="24"/>
        </w:rPr>
      </w:pPr>
      <w:r w:rsidRPr="00BC3E9D">
        <w:rPr>
          <w:rFonts w:ascii="Times New Roman" w:hAnsi="Times New Roman" w:cs="Times New Roman"/>
          <w:sz w:val="24"/>
          <w:szCs w:val="24"/>
          <w:lang w:eastAsia="en-IE"/>
        </w:rPr>
        <w:t xml:space="preserve">For transfers other than to a child under Retirement Relief, as a once-off measure until the end of 2016, the inclusion of conacre lettings as eligible. </w:t>
      </w:r>
      <w:r w:rsidRPr="00BC3E9D">
        <w:rPr>
          <w:rFonts w:ascii="Times New Roman" w:hAnsi="Times New Roman" w:cs="Times New Roman"/>
          <w:sz w:val="24"/>
          <w:szCs w:val="24"/>
        </w:rPr>
        <w:t xml:space="preserve">There is a cohort of farmers who </w:t>
      </w:r>
      <w:r w:rsidRPr="00BC3E9D">
        <w:rPr>
          <w:rFonts w:ascii="Times New Roman" w:hAnsi="Times New Roman" w:cs="Times New Roman"/>
          <w:sz w:val="24"/>
          <w:szCs w:val="24"/>
        </w:rPr>
        <w:lastRenderedPageBreak/>
        <w:t>are effectively caught in conacre arrangements without exit options</w:t>
      </w:r>
      <w:r w:rsidRPr="00BC3E9D">
        <w:rPr>
          <w:rFonts w:ascii="Times New Roman" w:hAnsi="Times New Roman" w:cs="Times New Roman"/>
          <w:sz w:val="24"/>
          <w:szCs w:val="24"/>
          <w:lang w:eastAsia="en-IE"/>
        </w:rPr>
        <w:t>. During the period to the end of 2016, they can either decide to transfer their land and qualify for Retirement Relief or enter into a long-term lease and qualify for Retirement Relief in the future.</w:t>
      </w:r>
    </w:p>
    <w:p w:rsidR="00BC3E9D" w:rsidRPr="00BC3E9D" w:rsidRDefault="00BC3E9D" w:rsidP="009339E0">
      <w:pPr>
        <w:pStyle w:val="ListParagraph"/>
        <w:numPr>
          <w:ilvl w:val="0"/>
          <w:numId w:val="10"/>
        </w:numPr>
        <w:spacing w:after="0" w:line="360" w:lineRule="auto"/>
        <w:contextualSpacing w:val="0"/>
        <w:rPr>
          <w:rFonts w:ascii="Times New Roman" w:hAnsi="Times New Roman" w:cs="Times New Roman"/>
          <w:sz w:val="24"/>
          <w:szCs w:val="24"/>
          <w:lang w:eastAsia="en-IE"/>
        </w:rPr>
      </w:pPr>
      <w:r w:rsidRPr="00BC3E9D">
        <w:rPr>
          <w:rFonts w:ascii="Times New Roman" w:hAnsi="Times New Roman" w:cs="Times New Roman"/>
          <w:sz w:val="24"/>
          <w:szCs w:val="24"/>
          <w:lang w:eastAsia="en-IE"/>
        </w:rPr>
        <w:t>The extension of Stamp Duty Consanguinity Relief, i.e. relief to related persons, on non-residential transfers to the end of 2017</w:t>
      </w:r>
      <w:r w:rsidR="00D73B9A">
        <w:rPr>
          <w:rFonts w:ascii="Times New Roman" w:hAnsi="Times New Roman" w:cs="Times New Roman"/>
          <w:sz w:val="24"/>
          <w:szCs w:val="24"/>
          <w:lang w:eastAsia="en-IE"/>
        </w:rPr>
        <w:t>, with restrictions of the relief to active farmers</w:t>
      </w:r>
      <w:r w:rsidRPr="00BC3E9D">
        <w:rPr>
          <w:rFonts w:ascii="Times New Roman" w:hAnsi="Times New Roman" w:cs="Times New Roman"/>
          <w:sz w:val="24"/>
          <w:szCs w:val="24"/>
          <w:lang w:eastAsia="en-IE"/>
        </w:rPr>
        <w:t>.</w:t>
      </w:r>
    </w:p>
    <w:p w:rsidR="00BC3E9D" w:rsidRPr="00BC3E9D" w:rsidRDefault="00BC3E9D" w:rsidP="00BC3E9D">
      <w:pPr>
        <w:spacing w:after="0" w:line="360" w:lineRule="auto"/>
        <w:rPr>
          <w:rFonts w:ascii="Times New Roman" w:hAnsi="Times New Roman" w:cs="Times New Roman"/>
          <w:sz w:val="24"/>
          <w:szCs w:val="24"/>
        </w:rPr>
      </w:pPr>
    </w:p>
    <w:p w:rsidR="00BC3E9D" w:rsidRPr="00BC3E9D" w:rsidRDefault="00BC3E9D" w:rsidP="00BC3E9D">
      <w:pPr>
        <w:keepNext/>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Some key facts on succession:</w:t>
      </w:r>
    </w:p>
    <w:p w:rsidR="00BC3E9D" w:rsidRPr="00BC3E9D" w:rsidRDefault="00BC3E9D" w:rsidP="009339E0">
      <w:pPr>
        <w:numPr>
          <w:ilvl w:val="0"/>
          <w:numId w:val="17"/>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The number of farmers aged under 35 fell by more than 50% between 2000 and 2010 to just 6.2% of all holders. </w:t>
      </w:r>
    </w:p>
    <w:p w:rsidR="00BC3E9D" w:rsidRPr="00BC3E9D" w:rsidRDefault="00BC3E9D" w:rsidP="009339E0">
      <w:pPr>
        <w:numPr>
          <w:ilvl w:val="0"/>
          <w:numId w:val="17"/>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More than half (51.4%) of all farm holders in 2010 are aged 55 years or older, while more than a quarter (26.3%) of all farm holders are aged over 65 years.</w:t>
      </w:r>
    </w:p>
    <w:p w:rsidR="00BC3E9D" w:rsidRPr="00BC3E9D" w:rsidRDefault="00BC3E9D" w:rsidP="009339E0">
      <w:pPr>
        <w:numPr>
          <w:ilvl w:val="0"/>
          <w:numId w:val="17"/>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An estimated 50% of farmers aged over 50 years do not have an identified farming successor.</w:t>
      </w:r>
    </w:p>
    <w:p w:rsidR="00BC3E9D" w:rsidRPr="00BC3E9D" w:rsidRDefault="00BC3E9D" w:rsidP="00BC3E9D">
      <w:pPr>
        <w:spacing w:after="0" w:line="360" w:lineRule="auto"/>
        <w:rPr>
          <w:rFonts w:ascii="Times New Roman" w:hAnsi="Times New Roman" w:cs="Times New Roman"/>
          <w:sz w:val="24"/>
          <w:szCs w:val="24"/>
        </w:rPr>
      </w:pPr>
    </w:p>
    <w:p w:rsidR="00BC3E9D" w:rsidRPr="004B1C0B" w:rsidRDefault="00BC3E9D" w:rsidP="00BC3E9D">
      <w:pPr>
        <w:spacing w:after="0" w:line="360" w:lineRule="auto"/>
        <w:rPr>
          <w:rFonts w:ascii="Times New Roman" w:hAnsi="Times New Roman" w:cs="Times New Roman"/>
          <w:b/>
          <w:color w:val="1F4E79" w:themeColor="accent1" w:themeShade="80"/>
          <w:sz w:val="28"/>
          <w:szCs w:val="28"/>
          <w:u w:val="single"/>
        </w:rPr>
      </w:pPr>
      <w:r w:rsidRPr="004B1C0B">
        <w:rPr>
          <w:rFonts w:ascii="Times New Roman" w:hAnsi="Times New Roman" w:cs="Times New Roman"/>
          <w:b/>
          <w:color w:val="1F4E79" w:themeColor="accent1" w:themeShade="80"/>
          <w:sz w:val="28"/>
          <w:szCs w:val="28"/>
          <w:u w:val="single"/>
        </w:rPr>
        <w:t xml:space="preserve">Policy objective 3: Complement wider agriculture policies and schemes </w:t>
      </w:r>
    </w:p>
    <w:p w:rsidR="00BC3E9D" w:rsidRPr="00BC3E9D" w:rsidRDefault="00BC3E9D" w:rsidP="00BC3E9D">
      <w:pPr>
        <w:spacing w:after="0" w:line="360" w:lineRule="auto"/>
        <w:contextualSpacing/>
        <w:rPr>
          <w:rFonts w:ascii="Times New Roman" w:hAnsi="Times New Roman" w:cs="Times New Roman"/>
          <w:sz w:val="24"/>
          <w:szCs w:val="24"/>
        </w:rPr>
      </w:pPr>
      <w:r w:rsidRPr="00BC3E9D">
        <w:rPr>
          <w:rFonts w:ascii="Times New Roman" w:hAnsi="Times New Roman" w:cs="Times New Roman"/>
          <w:sz w:val="24"/>
          <w:szCs w:val="24"/>
        </w:rPr>
        <w:t>The third policy objective of agri-taxation is to complement wider agriculture policies and schemes. Taxation measures have a specific role to play in areas that are primarily supported through other policies such as the CAP. Three</w:t>
      </w:r>
      <w:r w:rsidRPr="00BC3E9D">
        <w:rPr>
          <w:rFonts w:ascii="Times New Roman" w:hAnsi="Times New Roman" w:cs="Times New Roman"/>
          <w:sz w:val="24"/>
          <w:szCs w:val="24"/>
          <w:lang w:eastAsia="en-IE"/>
        </w:rPr>
        <w:t xml:space="preserve"> </w:t>
      </w:r>
      <w:r w:rsidRPr="00BC3E9D">
        <w:rPr>
          <w:rFonts w:ascii="Times New Roman" w:hAnsi="Times New Roman" w:cs="Times New Roman"/>
          <w:sz w:val="24"/>
          <w:szCs w:val="24"/>
        </w:rPr>
        <w:t>new measures were introduced in Budget 2015:</w:t>
      </w:r>
    </w:p>
    <w:p w:rsidR="00BC3E9D" w:rsidRPr="00BC3E9D" w:rsidRDefault="00BC3E9D" w:rsidP="009339E0">
      <w:pPr>
        <w:pStyle w:val="ListParagraph"/>
        <w:numPr>
          <w:ilvl w:val="0"/>
          <w:numId w:val="11"/>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 xml:space="preserve">To encourage greater farm efficiency and environmental sustainability, the farm restructuring measure (i.e. relief from Capital Gains Tax on eligible transactions) is extended to the end of 2016 and now includes whole-farm replacement as eligible. </w:t>
      </w:r>
    </w:p>
    <w:p w:rsidR="00BC3E9D" w:rsidRPr="00BC3E9D" w:rsidRDefault="00BC3E9D" w:rsidP="009339E0">
      <w:pPr>
        <w:pStyle w:val="ListParagraph"/>
        <w:numPr>
          <w:ilvl w:val="0"/>
          <w:numId w:val="11"/>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In response to increasing income volatility, the Income Averaging measure is being enhancing by increasing the averaging period from 3 to 5 years, and also,</w:t>
      </w:r>
    </w:p>
    <w:p w:rsidR="00BC3E9D" w:rsidRPr="00BC3E9D" w:rsidRDefault="00BC3E9D" w:rsidP="009339E0">
      <w:pPr>
        <w:pStyle w:val="ListParagraph"/>
        <w:numPr>
          <w:ilvl w:val="0"/>
          <w:numId w:val="11"/>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Allowing averaging to be availed of where a farmer and/or their spouse receive income from an on-farm diversification trade or profession.</w:t>
      </w:r>
    </w:p>
    <w:p w:rsidR="00BC3E9D" w:rsidRPr="00BC3E9D" w:rsidRDefault="00BC3E9D" w:rsidP="00BC3E9D">
      <w:pPr>
        <w:spacing w:after="0" w:line="360" w:lineRule="auto"/>
        <w:contextualSpacing/>
        <w:rPr>
          <w:rFonts w:ascii="Times New Roman" w:hAnsi="Times New Roman" w:cs="Times New Roman"/>
          <w:sz w:val="24"/>
          <w:szCs w:val="24"/>
        </w:rPr>
      </w:pPr>
    </w:p>
    <w:p w:rsidR="00BC3E9D" w:rsidRPr="00BC3E9D" w:rsidRDefault="00BC3E9D" w:rsidP="00BC3E9D">
      <w:pPr>
        <w:pStyle w:val="ListParagraph"/>
        <w:spacing w:after="0" w:line="360" w:lineRule="auto"/>
        <w:ind w:left="0"/>
        <w:rPr>
          <w:rFonts w:ascii="Times New Roman" w:hAnsi="Times New Roman" w:cs="Times New Roman"/>
          <w:sz w:val="24"/>
          <w:szCs w:val="24"/>
        </w:rPr>
      </w:pPr>
      <w:r w:rsidRPr="00BC3E9D">
        <w:rPr>
          <w:rFonts w:ascii="Times New Roman" w:hAnsi="Times New Roman" w:cs="Times New Roman"/>
          <w:sz w:val="24"/>
          <w:szCs w:val="24"/>
        </w:rPr>
        <w:t>As well as these 12 new measures, important existing agri-taxation measures are retained:</w:t>
      </w:r>
    </w:p>
    <w:p w:rsidR="00BC3E9D" w:rsidRPr="00BC3E9D" w:rsidRDefault="00BC3E9D" w:rsidP="009339E0">
      <w:pPr>
        <w:pStyle w:val="ListParagraph"/>
        <w:numPr>
          <w:ilvl w:val="0"/>
          <w:numId w:val="12"/>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To support investment to enhance competiveness, including assisting new entrants and young trained farmers, the current Capital Allowances and current Stock Reliefs available to the sector are retained.</w:t>
      </w:r>
    </w:p>
    <w:p w:rsidR="00BC3E9D" w:rsidRPr="00BC3E9D" w:rsidRDefault="00BC3E9D" w:rsidP="009339E0">
      <w:pPr>
        <w:pStyle w:val="ListParagraph"/>
        <w:numPr>
          <w:ilvl w:val="0"/>
          <w:numId w:val="12"/>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t>To assist environmental sustainability, profits or gains from the commercial occupation of woodlands remain tax exempt.</w:t>
      </w:r>
    </w:p>
    <w:p w:rsidR="00BC3E9D" w:rsidRPr="00BC3E9D" w:rsidRDefault="00BC3E9D" w:rsidP="009339E0">
      <w:pPr>
        <w:pStyle w:val="ListParagraph"/>
        <w:numPr>
          <w:ilvl w:val="0"/>
          <w:numId w:val="12"/>
        </w:numPr>
        <w:spacing w:after="0" w:line="360" w:lineRule="auto"/>
        <w:rPr>
          <w:rFonts w:ascii="Times New Roman" w:hAnsi="Times New Roman" w:cs="Times New Roman"/>
          <w:sz w:val="24"/>
          <w:szCs w:val="24"/>
        </w:rPr>
      </w:pPr>
      <w:r w:rsidRPr="00BC3E9D">
        <w:rPr>
          <w:rFonts w:ascii="Times New Roman" w:hAnsi="Times New Roman" w:cs="Times New Roman"/>
          <w:sz w:val="24"/>
          <w:szCs w:val="24"/>
        </w:rPr>
        <w:lastRenderedPageBreak/>
        <w:t>To support alternative farming models such as farm partnerships, current measures are retained.</w:t>
      </w:r>
    </w:p>
    <w:p w:rsidR="00BC3E9D" w:rsidRPr="00BC3E9D" w:rsidRDefault="00BC3E9D" w:rsidP="00BC3E9D">
      <w:pPr>
        <w:pStyle w:val="ListParagraph"/>
        <w:spacing w:after="0" w:line="360" w:lineRule="auto"/>
        <w:ind w:left="0"/>
        <w:rPr>
          <w:rFonts w:ascii="Times New Roman" w:hAnsi="Times New Roman" w:cs="Times New Roman"/>
          <w:sz w:val="24"/>
          <w:szCs w:val="24"/>
        </w:rPr>
      </w:pPr>
    </w:p>
    <w:p w:rsidR="00BC3E9D" w:rsidRPr="00BC3E9D" w:rsidRDefault="00BC3E9D" w:rsidP="00BC3E9D">
      <w:pPr>
        <w:pStyle w:val="ListParagraph"/>
        <w:pBdr>
          <w:top w:val="single" w:sz="4" w:space="1" w:color="auto"/>
          <w:left w:val="single" w:sz="4" w:space="4" w:color="auto"/>
          <w:bottom w:val="single" w:sz="4" w:space="1" w:color="auto"/>
          <w:right w:val="single" w:sz="4" w:space="4" w:color="auto"/>
        </w:pBdr>
        <w:spacing w:after="0" w:line="360" w:lineRule="auto"/>
        <w:ind w:left="0"/>
        <w:rPr>
          <w:rFonts w:ascii="Times New Roman" w:hAnsi="Times New Roman" w:cs="Times New Roman"/>
          <w:sz w:val="24"/>
          <w:szCs w:val="24"/>
          <w:u w:val="single"/>
        </w:rPr>
      </w:pPr>
      <w:r w:rsidRPr="00BC3E9D">
        <w:rPr>
          <w:rFonts w:ascii="Times New Roman" w:hAnsi="Times New Roman" w:cs="Times New Roman"/>
          <w:sz w:val="24"/>
          <w:szCs w:val="24"/>
          <w:u w:val="single"/>
        </w:rPr>
        <w:t>Some key facts on agri-taxation measures</w:t>
      </w:r>
    </w:p>
    <w:p w:rsidR="00BC3E9D" w:rsidRPr="00BC3E9D" w:rsidRDefault="00BC3E9D" w:rsidP="009339E0">
      <w:pPr>
        <w:pStyle w:val="ListParagraph"/>
        <w:numPr>
          <w:ilvl w:val="0"/>
          <w:numId w:val="13"/>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Capital Allowances rank first in terms of direct exchequer cost among the agri-taxation measures, with an estimated costing of some €192 million in 2011.</w:t>
      </w:r>
    </w:p>
    <w:p w:rsidR="00BC3E9D" w:rsidRPr="00BC3E9D" w:rsidRDefault="00BC3E9D" w:rsidP="009339E0">
      <w:pPr>
        <w:pStyle w:val="ListParagraph"/>
        <w:numPr>
          <w:ilvl w:val="0"/>
          <w:numId w:val="13"/>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Agricultural Relief from Capital Acquisitions Tax is second in terms of direct exchequer cost with an estimated costing of some €77 million in 2012.</w:t>
      </w:r>
    </w:p>
    <w:p w:rsidR="00BC3E9D" w:rsidRPr="00BC3E9D" w:rsidRDefault="00BC3E9D" w:rsidP="009339E0">
      <w:pPr>
        <w:pStyle w:val="ListParagraph"/>
        <w:numPr>
          <w:ilvl w:val="0"/>
          <w:numId w:val="13"/>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The estimated direct annual exchequer costs of agri-taxation measures amounted to nearly €340 million.</w:t>
      </w:r>
    </w:p>
    <w:p w:rsidR="00BC3E9D" w:rsidRPr="00BC3E9D" w:rsidRDefault="00BC3E9D" w:rsidP="009339E0">
      <w:pPr>
        <w:keepNext/>
        <w:numPr>
          <w:ilvl w:val="0"/>
          <w:numId w:val="13"/>
        </w:numPr>
        <w:pBdr>
          <w:top w:val="single" w:sz="4" w:space="1" w:color="auto"/>
          <w:left w:val="single" w:sz="4" w:space="4" w:color="auto"/>
          <w:bottom w:val="single" w:sz="4" w:space="1" w:color="auto"/>
          <w:right w:val="single" w:sz="4" w:space="4" w:color="auto"/>
        </w:pBdr>
        <w:spacing w:after="0" w:line="360" w:lineRule="auto"/>
        <w:rPr>
          <w:rFonts w:ascii="Times New Roman" w:hAnsi="Times New Roman" w:cs="Times New Roman"/>
          <w:sz w:val="24"/>
          <w:szCs w:val="24"/>
        </w:rPr>
      </w:pPr>
      <w:r w:rsidRPr="00BC3E9D">
        <w:rPr>
          <w:rFonts w:ascii="Times New Roman" w:hAnsi="Times New Roman" w:cs="Times New Roman"/>
          <w:sz w:val="24"/>
          <w:szCs w:val="24"/>
        </w:rPr>
        <w:t>The findings of the independent cost-benefit analysis and associated econometric analysis were positive in terms of continuing supports for the primary sector through taxation measures.</w:t>
      </w:r>
    </w:p>
    <w:p w:rsidR="00BC3E9D" w:rsidRPr="00BC3E9D" w:rsidRDefault="00BC3E9D" w:rsidP="00BC3E9D">
      <w:pPr>
        <w:spacing w:after="0" w:line="360" w:lineRule="auto"/>
        <w:rPr>
          <w:rFonts w:ascii="Times New Roman" w:hAnsi="Times New Roman" w:cs="Times New Roman"/>
          <w:sz w:val="24"/>
          <w:szCs w:val="24"/>
        </w:rPr>
      </w:pPr>
    </w:p>
    <w:p w:rsidR="00BC3E9D" w:rsidRPr="004B1C0B" w:rsidRDefault="00BC3E9D" w:rsidP="00BC3E9D">
      <w:pPr>
        <w:spacing w:after="0" w:line="360" w:lineRule="auto"/>
        <w:rPr>
          <w:rFonts w:ascii="Times New Roman" w:hAnsi="Times New Roman" w:cs="Times New Roman"/>
          <w:b/>
          <w:color w:val="1F4E79" w:themeColor="accent1" w:themeShade="80"/>
          <w:sz w:val="28"/>
          <w:szCs w:val="28"/>
          <w:u w:val="single"/>
        </w:rPr>
      </w:pPr>
      <w:r w:rsidRPr="004B1C0B">
        <w:rPr>
          <w:rFonts w:ascii="Times New Roman" w:hAnsi="Times New Roman" w:cs="Times New Roman"/>
          <w:b/>
          <w:color w:val="1F4E79" w:themeColor="accent1" w:themeShade="80"/>
          <w:sz w:val="28"/>
          <w:szCs w:val="28"/>
          <w:u w:val="single"/>
        </w:rPr>
        <w:t>Outlook</w:t>
      </w:r>
    </w:p>
    <w:p w:rsidR="00BC3E9D" w:rsidRPr="002B4CE1" w:rsidRDefault="00BC3E9D" w:rsidP="00BC3E9D">
      <w:pPr>
        <w:spacing w:after="0" w:line="360" w:lineRule="auto"/>
        <w:rPr>
          <w:rFonts w:ascii="Times New Roman" w:hAnsi="Times New Roman"/>
          <w:sz w:val="24"/>
          <w:szCs w:val="24"/>
        </w:rPr>
      </w:pPr>
      <w:r w:rsidRPr="00BC3E9D">
        <w:rPr>
          <w:rFonts w:ascii="Times New Roman" w:hAnsi="Times New Roman" w:cs="Times New Roman"/>
          <w:sz w:val="24"/>
          <w:szCs w:val="24"/>
        </w:rPr>
        <w:t xml:space="preserve">It is envisaged that the package of measures introduced in Budget 2015, the most substantial package of this kind ever introduced in a single budget, will lead to a more efficient and productive sector in anticipation of the significant challenges and opportunities ahead. The Agri-taxation Review has produced a comprehensive taxation strategy for the sector and will form the basis of agri-taxation policy for a number of years to come. The 12 new measures are part of an overall package recommended by the Agri-taxation Working Group, which will examine additional issues identified by the Review and continue to monitor the effectiveness of agri-taxation measures. </w:t>
      </w:r>
    </w:p>
    <w:p w:rsidR="0086038F" w:rsidRDefault="00F44999" w:rsidP="00652F85">
      <w:pPr>
        <w:spacing w:after="0" w:line="360" w:lineRule="auto"/>
        <w:jc w:val="center"/>
        <w:rPr>
          <w:rFonts w:ascii="Times New Roman" w:hAnsi="Times New Roman" w:cs="Times New Roman"/>
          <w:b/>
          <w:color w:val="222A35" w:themeColor="text2" w:themeShade="80"/>
          <w:sz w:val="24"/>
          <w:szCs w:val="24"/>
          <w:u w:val="double" w:color="222A35" w:themeColor="text2" w:themeShade="80"/>
        </w:rPr>
      </w:pPr>
      <w:r>
        <w:rPr>
          <w:rFonts w:ascii="Times New Roman" w:hAnsi="Times New Roman" w:cs="Times New Roman"/>
          <w:sz w:val="24"/>
          <w:szCs w:val="24"/>
        </w:rPr>
        <w:br w:type="page"/>
      </w:r>
      <w:r w:rsidR="0086038F" w:rsidRPr="00652F85">
        <w:rPr>
          <w:rFonts w:ascii="Times New Roman" w:hAnsi="Times New Roman" w:cs="Times New Roman"/>
          <w:b/>
          <w:color w:val="222A35" w:themeColor="text2" w:themeShade="80"/>
          <w:sz w:val="24"/>
          <w:szCs w:val="24"/>
          <w:u w:val="double" w:color="222A35" w:themeColor="text2" w:themeShade="80"/>
        </w:rPr>
        <w:lastRenderedPageBreak/>
        <w:t>CONCLUSIONS</w:t>
      </w:r>
    </w:p>
    <w:p w:rsidR="00652F85" w:rsidRPr="00652F85" w:rsidRDefault="00652F85" w:rsidP="00652F85">
      <w:pPr>
        <w:spacing w:after="0" w:line="360" w:lineRule="auto"/>
        <w:jc w:val="center"/>
        <w:rPr>
          <w:rFonts w:ascii="Times New Roman" w:hAnsi="Times New Roman" w:cs="Times New Roman"/>
          <w:b/>
          <w:color w:val="222A35" w:themeColor="text2" w:themeShade="80"/>
          <w:sz w:val="24"/>
          <w:szCs w:val="24"/>
          <w:u w:val="double" w:color="222A35" w:themeColor="text2" w:themeShade="80"/>
        </w:rPr>
      </w:pPr>
    </w:p>
    <w:p w:rsidR="0086038F" w:rsidRPr="00E710FE" w:rsidRDefault="0086038F" w:rsidP="009339E0">
      <w:pPr>
        <w:pStyle w:val="ListParagraph"/>
        <w:numPr>
          <w:ilvl w:val="0"/>
          <w:numId w:val="4"/>
        </w:numPr>
        <w:spacing w:after="0" w:line="360" w:lineRule="auto"/>
        <w:ind w:left="714" w:hanging="357"/>
        <w:rPr>
          <w:rFonts w:ascii="Times New Roman" w:hAnsi="Times New Roman" w:cs="Times New Roman"/>
          <w:sz w:val="24"/>
          <w:szCs w:val="24"/>
        </w:rPr>
      </w:pPr>
      <w:r w:rsidRPr="00E710FE">
        <w:rPr>
          <w:rFonts w:ascii="Times New Roman" w:hAnsi="Times New Roman" w:cs="Times New Roman"/>
          <w:sz w:val="24"/>
          <w:szCs w:val="24"/>
        </w:rPr>
        <w:t xml:space="preserve">There is a </w:t>
      </w:r>
      <w:r w:rsidR="00B00985">
        <w:rPr>
          <w:rFonts w:ascii="Times New Roman" w:hAnsi="Times New Roman" w:cs="Times New Roman"/>
          <w:sz w:val="24"/>
          <w:szCs w:val="24"/>
        </w:rPr>
        <w:t>significant</w:t>
      </w:r>
      <w:r w:rsidRPr="00E710FE">
        <w:rPr>
          <w:rFonts w:ascii="Times New Roman" w:hAnsi="Times New Roman" w:cs="Times New Roman"/>
          <w:sz w:val="24"/>
          <w:szCs w:val="24"/>
        </w:rPr>
        <w:t xml:space="preserve"> gap in terms of farm incomes and viability between dairy farms on the one hand, and cattle and sheep farms on the other, with tillage farms in between.</w:t>
      </w:r>
    </w:p>
    <w:p w:rsidR="00D27F93" w:rsidRPr="00E710FE" w:rsidRDefault="0086038F" w:rsidP="009339E0">
      <w:pPr>
        <w:pStyle w:val="ListParagraph"/>
        <w:numPr>
          <w:ilvl w:val="0"/>
          <w:numId w:val="4"/>
        </w:numPr>
        <w:spacing w:after="0" w:line="360" w:lineRule="auto"/>
        <w:ind w:left="714" w:hanging="357"/>
        <w:rPr>
          <w:rFonts w:ascii="Times New Roman" w:hAnsi="Times New Roman" w:cs="Times New Roman"/>
          <w:sz w:val="24"/>
          <w:szCs w:val="24"/>
        </w:rPr>
      </w:pPr>
      <w:r w:rsidRPr="00E710FE">
        <w:rPr>
          <w:rFonts w:ascii="Times New Roman" w:hAnsi="Times New Roman" w:cs="Times New Roman"/>
          <w:sz w:val="24"/>
          <w:szCs w:val="24"/>
        </w:rPr>
        <w:t xml:space="preserve">The number of dairy farms has reduced over time, and their scale and efficiency has increased.  As a result, most dairy farms are viable farm enterprises </w:t>
      </w:r>
      <w:r w:rsidR="00D27F93" w:rsidRPr="00E710FE">
        <w:rPr>
          <w:rFonts w:ascii="Times New Roman" w:hAnsi="Times New Roman" w:cs="Times New Roman"/>
          <w:sz w:val="24"/>
          <w:szCs w:val="24"/>
        </w:rPr>
        <w:t>with reasonable incomes.</w:t>
      </w:r>
    </w:p>
    <w:p w:rsidR="00E710FE" w:rsidRPr="00E710FE" w:rsidRDefault="00D27F93" w:rsidP="009339E0">
      <w:pPr>
        <w:pStyle w:val="ListParagraph"/>
        <w:numPr>
          <w:ilvl w:val="0"/>
          <w:numId w:val="4"/>
        </w:numPr>
        <w:spacing w:after="0" w:line="360" w:lineRule="auto"/>
        <w:ind w:left="714" w:hanging="357"/>
        <w:rPr>
          <w:rFonts w:ascii="Times New Roman" w:hAnsi="Times New Roman" w:cs="Times New Roman"/>
          <w:sz w:val="24"/>
          <w:szCs w:val="24"/>
        </w:rPr>
      </w:pPr>
      <w:r w:rsidRPr="00E710FE">
        <w:rPr>
          <w:rFonts w:ascii="Times New Roman" w:hAnsi="Times New Roman" w:cs="Times New Roman"/>
          <w:sz w:val="24"/>
          <w:szCs w:val="24"/>
        </w:rPr>
        <w:t xml:space="preserve">By contrast, </w:t>
      </w:r>
      <w:r w:rsidR="00E710FE" w:rsidRPr="00E710FE">
        <w:rPr>
          <w:rFonts w:ascii="Times New Roman" w:hAnsi="Times New Roman" w:cs="Times New Roman"/>
          <w:sz w:val="24"/>
          <w:szCs w:val="24"/>
        </w:rPr>
        <w:t xml:space="preserve">most </w:t>
      </w:r>
      <w:r w:rsidRPr="00E710FE">
        <w:rPr>
          <w:rFonts w:ascii="Times New Roman" w:hAnsi="Times New Roman" w:cs="Times New Roman"/>
          <w:sz w:val="24"/>
          <w:szCs w:val="24"/>
        </w:rPr>
        <w:t xml:space="preserve">cattle and sheep farms </w:t>
      </w:r>
      <w:r w:rsidR="00E710FE" w:rsidRPr="00E710FE">
        <w:rPr>
          <w:rFonts w:ascii="Times New Roman" w:hAnsi="Times New Roman" w:cs="Times New Roman"/>
          <w:sz w:val="24"/>
          <w:szCs w:val="24"/>
        </w:rPr>
        <w:t>are</w:t>
      </w:r>
      <w:r w:rsidRPr="00E710FE">
        <w:rPr>
          <w:rFonts w:ascii="Times New Roman" w:hAnsi="Times New Roman" w:cs="Times New Roman"/>
          <w:sz w:val="24"/>
          <w:szCs w:val="24"/>
        </w:rPr>
        <w:t xml:space="preserve"> small scale, with relatively high input costs, low profits and a huge dependence on direct payments</w:t>
      </w:r>
      <w:r w:rsidR="00E710FE" w:rsidRPr="00E710FE">
        <w:rPr>
          <w:rFonts w:ascii="Times New Roman" w:hAnsi="Times New Roman" w:cs="Times New Roman"/>
          <w:sz w:val="24"/>
          <w:szCs w:val="24"/>
        </w:rPr>
        <w:t xml:space="preserve"> as a source of income</w:t>
      </w:r>
      <w:r w:rsidRPr="00E710FE">
        <w:rPr>
          <w:rFonts w:ascii="Times New Roman" w:hAnsi="Times New Roman" w:cs="Times New Roman"/>
          <w:sz w:val="24"/>
          <w:szCs w:val="24"/>
        </w:rPr>
        <w:t xml:space="preserve">. </w:t>
      </w:r>
    </w:p>
    <w:p w:rsidR="00E710FE" w:rsidRPr="00E710FE" w:rsidRDefault="00D27F93" w:rsidP="009339E0">
      <w:pPr>
        <w:pStyle w:val="ListParagraph"/>
        <w:numPr>
          <w:ilvl w:val="0"/>
          <w:numId w:val="4"/>
        </w:numPr>
        <w:spacing w:after="0" w:line="360" w:lineRule="auto"/>
        <w:ind w:left="714" w:hanging="357"/>
        <w:rPr>
          <w:rFonts w:ascii="Times New Roman" w:hAnsi="Times New Roman" w:cs="Times New Roman"/>
          <w:sz w:val="24"/>
          <w:szCs w:val="24"/>
        </w:rPr>
      </w:pPr>
      <w:r w:rsidRPr="00E710FE">
        <w:rPr>
          <w:rFonts w:ascii="Times New Roman" w:hAnsi="Times New Roman" w:cs="Times New Roman"/>
          <w:sz w:val="24"/>
          <w:szCs w:val="24"/>
        </w:rPr>
        <w:t>Some drystock farms are sustainable due to off-farm employment</w:t>
      </w:r>
      <w:r w:rsidR="00E710FE" w:rsidRPr="00E710FE">
        <w:rPr>
          <w:rFonts w:ascii="Times New Roman" w:hAnsi="Times New Roman" w:cs="Times New Roman"/>
          <w:sz w:val="24"/>
          <w:szCs w:val="24"/>
        </w:rPr>
        <w:t xml:space="preserve"> of the farm holder and/or their spouse</w:t>
      </w:r>
      <w:r w:rsidRPr="00E710FE">
        <w:rPr>
          <w:rFonts w:ascii="Times New Roman" w:hAnsi="Times New Roman" w:cs="Times New Roman"/>
          <w:sz w:val="24"/>
          <w:szCs w:val="24"/>
        </w:rPr>
        <w:t xml:space="preserve">. </w:t>
      </w:r>
      <w:r w:rsidR="00E710FE" w:rsidRPr="00E710FE">
        <w:rPr>
          <w:rFonts w:ascii="Times New Roman" w:hAnsi="Times New Roman" w:cs="Times New Roman"/>
          <w:sz w:val="24"/>
          <w:szCs w:val="24"/>
        </w:rPr>
        <w:t xml:space="preserve">Small-scale cattle farms are well suited to part-time farming in terms of the labour input required.  </w:t>
      </w:r>
    </w:p>
    <w:p w:rsidR="00E710FE" w:rsidRPr="00E710FE" w:rsidRDefault="00E710FE" w:rsidP="009339E0">
      <w:pPr>
        <w:pStyle w:val="ListParagraph"/>
        <w:numPr>
          <w:ilvl w:val="0"/>
          <w:numId w:val="4"/>
        </w:numPr>
        <w:spacing w:after="0" w:line="360" w:lineRule="auto"/>
        <w:ind w:left="714" w:hanging="357"/>
        <w:rPr>
          <w:rFonts w:ascii="Times New Roman" w:hAnsi="Times New Roman" w:cs="Times New Roman"/>
          <w:sz w:val="24"/>
          <w:szCs w:val="24"/>
        </w:rPr>
      </w:pPr>
      <w:r w:rsidRPr="00E710FE">
        <w:rPr>
          <w:rFonts w:ascii="Times New Roman" w:hAnsi="Times New Roman" w:cs="Times New Roman"/>
          <w:sz w:val="24"/>
          <w:szCs w:val="24"/>
        </w:rPr>
        <w:t>Teagasc’s Options programme is active</w:t>
      </w:r>
      <w:r w:rsidR="001E5CA1">
        <w:rPr>
          <w:rFonts w:ascii="Times New Roman" w:hAnsi="Times New Roman" w:cs="Times New Roman"/>
          <w:sz w:val="24"/>
          <w:szCs w:val="24"/>
        </w:rPr>
        <w:t>ly encouraging and supporting farm families to examine new sources of income, both on-farm through diversification and innovative approaches such as contract rearing, partnerships and share farming; and through off-farm employment opportunities.</w:t>
      </w:r>
    </w:p>
    <w:p w:rsidR="004C2E9E" w:rsidRDefault="00D27F93" w:rsidP="009339E0">
      <w:pPr>
        <w:pStyle w:val="ListParagraph"/>
        <w:numPr>
          <w:ilvl w:val="0"/>
          <w:numId w:val="4"/>
        </w:numPr>
        <w:spacing w:after="0" w:line="360" w:lineRule="auto"/>
        <w:ind w:left="714" w:hanging="357"/>
        <w:rPr>
          <w:rFonts w:ascii="Times New Roman" w:hAnsi="Times New Roman" w:cs="Times New Roman"/>
          <w:sz w:val="24"/>
          <w:szCs w:val="24"/>
        </w:rPr>
      </w:pPr>
      <w:r w:rsidRPr="004C2E9E">
        <w:rPr>
          <w:rFonts w:ascii="Times New Roman" w:hAnsi="Times New Roman" w:cs="Times New Roman"/>
          <w:sz w:val="24"/>
          <w:szCs w:val="24"/>
        </w:rPr>
        <w:t xml:space="preserve">However, </w:t>
      </w:r>
      <w:r w:rsidR="001E5CA1" w:rsidRPr="004C2E9E">
        <w:rPr>
          <w:rFonts w:ascii="Times New Roman" w:hAnsi="Times New Roman" w:cs="Times New Roman"/>
          <w:sz w:val="24"/>
          <w:szCs w:val="24"/>
        </w:rPr>
        <w:t>there remains a cohort of drystock farmers, mainly elderly, who are operating inefficient farms on a small scale.  These farmers are not using their assets productively</w:t>
      </w:r>
      <w:r w:rsidR="004C2E9E">
        <w:rPr>
          <w:rFonts w:ascii="Times New Roman" w:hAnsi="Times New Roman" w:cs="Times New Roman"/>
          <w:sz w:val="24"/>
          <w:szCs w:val="24"/>
        </w:rPr>
        <w:t>, particularly scarce agricultural land which could be used more effectively by younger trained farmers.</w:t>
      </w:r>
      <w:r w:rsidR="00062810">
        <w:rPr>
          <w:rFonts w:ascii="Times New Roman" w:hAnsi="Times New Roman" w:cs="Times New Roman"/>
          <w:sz w:val="24"/>
          <w:szCs w:val="24"/>
        </w:rPr>
        <w:t xml:space="preserve"> </w:t>
      </w:r>
    </w:p>
    <w:p w:rsidR="004B1C0B" w:rsidRPr="004B1C0B" w:rsidRDefault="004B1C0B" w:rsidP="009339E0">
      <w:pPr>
        <w:pStyle w:val="ListParagraph"/>
        <w:numPr>
          <w:ilvl w:val="0"/>
          <w:numId w:val="4"/>
        </w:numPr>
        <w:spacing w:after="0" w:line="360" w:lineRule="auto"/>
        <w:rPr>
          <w:rFonts w:ascii="Times New Roman" w:hAnsi="Times New Roman" w:cs="Times New Roman"/>
          <w:sz w:val="24"/>
          <w:szCs w:val="24"/>
        </w:rPr>
      </w:pPr>
      <w:r w:rsidRPr="004B1C0B">
        <w:rPr>
          <w:rFonts w:ascii="Times New Roman" w:hAnsi="Times New Roman" w:cs="Times New Roman"/>
          <w:sz w:val="24"/>
          <w:szCs w:val="24"/>
        </w:rPr>
        <w:t xml:space="preserve">The </w:t>
      </w:r>
      <w:r>
        <w:rPr>
          <w:rFonts w:ascii="Times New Roman" w:hAnsi="Times New Roman" w:cs="Times New Roman"/>
          <w:sz w:val="24"/>
          <w:szCs w:val="24"/>
        </w:rPr>
        <w:t xml:space="preserve">recent </w:t>
      </w:r>
      <w:r w:rsidRPr="004B1C0B">
        <w:rPr>
          <w:rFonts w:ascii="Times New Roman" w:hAnsi="Times New Roman" w:cs="Times New Roman"/>
          <w:sz w:val="24"/>
          <w:szCs w:val="24"/>
        </w:rPr>
        <w:t xml:space="preserve">Agri-taxation Review is a comprehensive examination of agri-taxation measures, which are a critical element of Government support to the primary agriculture sector, and provides a strong evidence base for continued assistance to the sector through the taxation system. It is a taxation strategy for the sector and will form the basis of agri-taxation policy for a number of years to come, with three new specific policy objectives outlined: </w:t>
      </w:r>
    </w:p>
    <w:p w:rsidR="004B1C0B" w:rsidRPr="004B1C0B" w:rsidRDefault="004B1C0B" w:rsidP="009339E0">
      <w:pPr>
        <w:pStyle w:val="ListParagraph"/>
        <w:numPr>
          <w:ilvl w:val="1"/>
          <w:numId w:val="4"/>
        </w:numPr>
        <w:spacing w:after="0" w:line="360" w:lineRule="auto"/>
        <w:rPr>
          <w:rFonts w:ascii="Times New Roman" w:hAnsi="Times New Roman" w:cs="Times New Roman"/>
          <w:sz w:val="24"/>
          <w:szCs w:val="24"/>
        </w:rPr>
      </w:pPr>
      <w:r w:rsidRPr="004B1C0B">
        <w:rPr>
          <w:rFonts w:ascii="Times New Roman" w:hAnsi="Times New Roman" w:cs="Times New Roman"/>
          <w:sz w:val="24"/>
          <w:szCs w:val="24"/>
        </w:rPr>
        <w:t>Increase the mobility and the productive use of land</w:t>
      </w:r>
    </w:p>
    <w:p w:rsidR="004B1C0B" w:rsidRPr="004B1C0B" w:rsidRDefault="004B1C0B" w:rsidP="009339E0">
      <w:pPr>
        <w:pStyle w:val="ListParagraph"/>
        <w:numPr>
          <w:ilvl w:val="1"/>
          <w:numId w:val="4"/>
        </w:numPr>
        <w:spacing w:after="0" w:line="360" w:lineRule="auto"/>
        <w:rPr>
          <w:rFonts w:ascii="Times New Roman" w:hAnsi="Times New Roman" w:cs="Times New Roman"/>
          <w:sz w:val="24"/>
          <w:szCs w:val="24"/>
        </w:rPr>
      </w:pPr>
      <w:r w:rsidRPr="004B1C0B">
        <w:rPr>
          <w:rFonts w:ascii="Times New Roman" w:hAnsi="Times New Roman" w:cs="Times New Roman"/>
          <w:sz w:val="24"/>
          <w:szCs w:val="24"/>
        </w:rPr>
        <w:t xml:space="preserve">Assist succession. </w:t>
      </w:r>
    </w:p>
    <w:p w:rsidR="004B1C0B" w:rsidRPr="004B1C0B" w:rsidRDefault="004B1C0B" w:rsidP="009339E0">
      <w:pPr>
        <w:pStyle w:val="ListParagraph"/>
        <w:numPr>
          <w:ilvl w:val="1"/>
          <w:numId w:val="4"/>
        </w:numPr>
        <w:spacing w:after="0" w:line="360" w:lineRule="auto"/>
        <w:rPr>
          <w:rFonts w:ascii="Times New Roman" w:hAnsi="Times New Roman" w:cs="Times New Roman"/>
          <w:sz w:val="24"/>
          <w:szCs w:val="24"/>
        </w:rPr>
      </w:pPr>
      <w:r w:rsidRPr="004B1C0B">
        <w:rPr>
          <w:rFonts w:ascii="Times New Roman" w:hAnsi="Times New Roman" w:cs="Times New Roman"/>
          <w:sz w:val="24"/>
          <w:szCs w:val="24"/>
        </w:rPr>
        <w:t>Complement wider agriculture policies and schemes (i.e. supporting investment to enhance competiveness, environmental sustainability, alternative farming models and responses to increasing income volatility.</w:t>
      </w:r>
    </w:p>
    <w:p w:rsidR="0086038F" w:rsidRPr="00783A69" w:rsidRDefault="0086038F" w:rsidP="009339E0">
      <w:pPr>
        <w:pStyle w:val="ListParagraph"/>
        <w:numPr>
          <w:ilvl w:val="0"/>
          <w:numId w:val="4"/>
        </w:numPr>
        <w:spacing w:after="0" w:line="360" w:lineRule="auto"/>
        <w:rPr>
          <w:rFonts w:ascii="Times New Roman" w:hAnsi="Times New Roman" w:cs="Times New Roman"/>
          <w:sz w:val="24"/>
          <w:szCs w:val="24"/>
        </w:rPr>
      </w:pPr>
      <w:r w:rsidRPr="00783A69">
        <w:rPr>
          <w:rFonts w:ascii="Times New Roman" w:hAnsi="Times New Roman" w:cs="Times New Roman"/>
          <w:sz w:val="24"/>
          <w:szCs w:val="24"/>
        </w:rPr>
        <w:br w:type="page"/>
      </w:r>
    </w:p>
    <w:p w:rsidR="00DF7202" w:rsidRPr="004C2E9E" w:rsidRDefault="00F44999" w:rsidP="004C2E9E">
      <w:pPr>
        <w:spacing w:after="0" w:line="360" w:lineRule="auto"/>
        <w:jc w:val="center"/>
        <w:rPr>
          <w:rFonts w:ascii="Times New Roman" w:hAnsi="Times New Roman" w:cs="Times New Roman"/>
          <w:b/>
          <w:color w:val="222A35" w:themeColor="text2" w:themeShade="80"/>
          <w:sz w:val="24"/>
          <w:szCs w:val="24"/>
          <w:u w:val="double" w:color="222A35" w:themeColor="text2" w:themeShade="80"/>
        </w:rPr>
      </w:pPr>
      <w:r w:rsidRPr="004C2E9E">
        <w:rPr>
          <w:rFonts w:ascii="Times New Roman" w:hAnsi="Times New Roman" w:cs="Times New Roman"/>
          <w:b/>
          <w:color w:val="222A35" w:themeColor="text2" w:themeShade="80"/>
          <w:sz w:val="24"/>
          <w:szCs w:val="24"/>
          <w:u w:val="double" w:color="222A35" w:themeColor="text2" w:themeShade="80"/>
        </w:rPr>
        <w:lastRenderedPageBreak/>
        <w:t>Appendix</w:t>
      </w:r>
    </w:p>
    <w:p w:rsidR="00F44999" w:rsidRDefault="00F44999" w:rsidP="00304366">
      <w:pPr>
        <w:spacing w:after="0" w:line="360" w:lineRule="auto"/>
        <w:rPr>
          <w:rFonts w:ascii="Times New Roman" w:hAnsi="Times New Roman" w:cs="Times New Roman"/>
          <w:sz w:val="24"/>
          <w:szCs w:val="24"/>
        </w:rPr>
      </w:pPr>
    </w:p>
    <w:p w:rsidR="00F44999" w:rsidRDefault="00F44999" w:rsidP="0054670C">
      <w:pPr>
        <w:pStyle w:val="Heading4"/>
      </w:pPr>
      <w:r w:rsidRPr="0054670C">
        <w:t xml:space="preserve"> Output, inputs and </w:t>
      </w:r>
      <w:r w:rsidR="0075050E" w:rsidRPr="0054670C">
        <w:t>INCOME IN</w:t>
      </w:r>
      <w:r w:rsidR="00783251" w:rsidRPr="0054670C">
        <w:t xml:space="preserve"> agriculture </w:t>
      </w:r>
      <w:r w:rsidRPr="0054670C">
        <w:t>2000-2013</w:t>
      </w:r>
    </w:p>
    <w:p w:rsidR="0054670C" w:rsidRPr="0054670C" w:rsidRDefault="0054670C" w:rsidP="0054670C"/>
    <w:tbl>
      <w:tblPr>
        <w:tblW w:w="9992" w:type="dxa"/>
        <w:tblInd w:w="93" w:type="dxa"/>
        <w:tblLook w:val="04A0"/>
      </w:tblPr>
      <w:tblGrid>
        <w:gridCol w:w="1200"/>
        <w:gridCol w:w="628"/>
        <w:gridCol w:w="628"/>
        <w:gridCol w:w="628"/>
        <w:gridCol w:w="628"/>
        <w:gridCol w:w="628"/>
        <w:gridCol w:w="628"/>
        <w:gridCol w:w="628"/>
        <w:gridCol w:w="628"/>
        <w:gridCol w:w="628"/>
        <w:gridCol w:w="628"/>
        <w:gridCol w:w="628"/>
        <w:gridCol w:w="628"/>
        <w:gridCol w:w="628"/>
        <w:gridCol w:w="628"/>
      </w:tblGrid>
      <w:tr w:rsidR="00F44999" w:rsidRPr="00F44999" w:rsidTr="00EB2FD9">
        <w:trPr>
          <w:trHeight w:val="240"/>
        </w:trPr>
        <w:tc>
          <w:tcPr>
            <w:tcW w:w="1200" w:type="dxa"/>
            <w:tcBorders>
              <w:top w:val="nil"/>
              <w:left w:val="nil"/>
              <w:bottom w:val="nil"/>
              <w:right w:val="nil"/>
            </w:tcBorders>
            <w:shd w:val="clear" w:color="auto" w:fill="auto"/>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2000</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2001</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2002</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2003</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2004</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2005</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2006</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2007</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2008</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2009</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2010</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2011</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2012</w:t>
            </w:r>
          </w:p>
        </w:tc>
        <w:tc>
          <w:tcPr>
            <w:tcW w:w="628" w:type="dxa"/>
            <w:tcBorders>
              <w:top w:val="nil"/>
              <w:left w:val="nil"/>
              <w:bottom w:val="nil"/>
              <w:right w:val="nil"/>
            </w:tcBorders>
            <w:shd w:val="clear" w:color="000000" w:fill="F2F2F2"/>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2013</w:t>
            </w:r>
          </w:p>
        </w:tc>
      </w:tr>
      <w:tr w:rsidR="00F44999" w:rsidRPr="00F44999" w:rsidTr="00EB2FD9">
        <w:trPr>
          <w:trHeight w:val="240"/>
        </w:trPr>
        <w:tc>
          <w:tcPr>
            <w:tcW w:w="1200" w:type="dxa"/>
            <w:tcBorders>
              <w:top w:val="nil"/>
              <w:left w:val="nil"/>
              <w:bottom w:val="nil"/>
              <w:right w:val="nil"/>
            </w:tcBorders>
            <w:shd w:val="clear" w:color="000000" w:fill="F2DCDB"/>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Goods output</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4,884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5,102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4,711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4,839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5,023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5,041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5,228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5,728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5,880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4,755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5,365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6,301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6,701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7,256 </w:t>
            </w:r>
          </w:p>
        </w:tc>
      </w:tr>
      <w:tr w:rsidR="00F44999" w:rsidRPr="00F44999" w:rsidTr="00EB2FD9">
        <w:trPr>
          <w:trHeight w:val="420"/>
        </w:trPr>
        <w:tc>
          <w:tcPr>
            <w:tcW w:w="1200" w:type="dxa"/>
            <w:tcBorders>
              <w:top w:val="nil"/>
              <w:left w:val="nil"/>
              <w:bottom w:val="nil"/>
              <w:right w:val="nil"/>
            </w:tcBorders>
            <w:shd w:val="clear" w:color="000000" w:fill="DCE6F1"/>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 Inputs (Intermediate Consumption)</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3,208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3,469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3,413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3,465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3,516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3,745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4,015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4,226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4,700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4,191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4,261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4,828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5,292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5,708 </w:t>
            </w:r>
          </w:p>
        </w:tc>
      </w:tr>
      <w:tr w:rsidR="00F44999" w:rsidRPr="00F44999" w:rsidTr="00EB2FD9">
        <w:trPr>
          <w:trHeight w:val="504"/>
        </w:trPr>
        <w:tc>
          <w:tcPr>
            <w:tcW w:w="1200" w:type="dxa"/>
            <w:tcBorders>
              <w:top w:val="nil"/>
              <w:left w:val="nil"/>
              <w:bottom w:val="nil"/>
              <w:right w:val="nil"/>
            </w:tcBorders>
            <w:shd w:val="clear" w:color="000000" w:fill="F2DCDB"/>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 Fixed capital consumption</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590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618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636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640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652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648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668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704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769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780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734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710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717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725 </w:t>
            </w:r>
          </w:p>
        </w:tc>
      </w:tr>
      <w:tr w:rsidR="00F44999" w:rsidRPr="00F44999" w:rsidTr="00EB2FD9">
        <w:trPr>
          <w:trHeight w:val="240"/>
        </w:trPr>
        <w:tc>
          <w:tcPr>
            <w:tcW w:w="1200" w:type="dxa"/>
            <w:tcBorders>
              <w:top w:val="nil"/>
              <w:left w:val="nil"/>
              <w:bottom w:val="nil"/>
              <w:right w:val="nil"/>
            </w:tcBorders>
            <w:shd w:val="clear" w:color="000000" w:fill="DCE6F1"/>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 Subsidies less taxes</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1,200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1,255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1,493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1,470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1,465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2,080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1,794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1,805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1,863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1,804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1,639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1,801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1,630 </w:t>
            </w:r>
          </w:p>
        </w:tc>
        <w:tc>
          <w:tcPr>
            <w:tcW w:w="628" w:type="dxa"/>
            <w:tcBorders>
              <w:top w:val="nil"/>
              <w:left w:val="nil"/>
              <w:bottom w:val="nil"/>
              <w:right w:val="nil"/>
            </w:tcBorders>
            <w:shd w:val="clear" w:color="000000" w:fill="DCE6F1"/>
            <w:noWrap/>
            <w:vAlign w:val="bottom"/>
            <w:hideMark/>
          </w:tcPr>
          <w:p w:rsidR="00F44999" w:rsidRPr="00F44999" w:rsidRDefault="00F44999" w:rsidP="00F44999">
            <w:pPr>
              <w:spacing w:after="0" w:line="240" w:lineRule="auto"/>
              <w:rPr>
                <w:rFonts w:ascii="Calibri" w:eastAsia="Times New Roman" w:hAnsi="Calibri" w:cs="Times New Roman"/>
                <w:color w:val="000000"/>
                <w:sz w:val="18"/>
                <w:szCs w:val="18"/>
                <w:lang w:eastAsia="en-IE"/>
              </w:rPr>
            </w:pPr>
            <w:r w:rsidRPr="00F44999">
              <w:rPr>
                <w:rFonts w:ascii="Calibri" w:eastAsia="Times New Roman" w:hAnsi="Calibri" w:cs="Times New Roman"/>
                <w:color w:val="000000"/>
                <w:sz w:val="18"/>
                <w:szCs w:val="18"/>
                <w:lang w:eastAsia="en-IE"/>
              </w:rPr>
              <w:t xml:space="preserve">   1,505 </w:t>
            </w:r>
          </w:p>
        </w:tc>
      </w:tr>
      <w:tr w:rsidR="00F44999" w:rsidRPr="00F44999" w:rsidTr="00EB2FD9">
        <w:trPr>
          <w:trHeight w:val="624"/>
        </w:trPr>
        <w:tc>
          <w:tcPr>
            <w:tcW w:w="1200" w:type="dxa"/>
            <w:tcBorders>
              <w:top w:val="nil"/>
              <w:left w:val="nil"/>
              <w:bottom w:val="nil"/>
              <w:right w:val="nil"/>
            </w:tcBorders>
            <w:shd w:val="clear" w:color="000000" w:fill="F2DCDB"/>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 Contract work - compensation of employees</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-124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-92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-130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-143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-143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-139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-154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-160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-155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-159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-157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-118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-101 </w:t>
            </w:r>
          </w:p>
        </w:tc>
        <w:tc>
          <w:tcPr>
            <w:tcW w:w="628" w:type="dxa"/>
            <w:tcBorders>
              <w:top w:val="nil"/>
              <w:left w:val="nil"/>
              <w:bottom w:val="nil"/>
              <w:right w:val="nil"/>
            </w:tcBorders>
            <w:shd w:val="clear" w:color="000000" w:fill="F2DCDB"/>
            <w:noWrap/>
            <w:vAlign w:val="bottom"/>
            <w:hideMark/>
          </w:tcPr>
          <w:p w:rsidR="00F44999" w:rsidRPr="00F44999" w:rsidRDefault="00F44999" w:rsidP="00F44999">
            <w:pPr>
              <w:spacing w:after="0" w:line="240" w:lineRule="auto"/>
              <w:jc w:val="right"/>
              <w:rPr>
                <w:rFonts w:ascii="Calibri" w:eastAsia="Times New Roman" w:hAnsi="Calibri" w:cs="Times New Roman"/>
                <w:color w:val="000000"/>
                <w:sz w:val="18"/>
                <w:szCs w:val="18"/>
                <w:lang w:eastAsia="en-IE"/>
              </w:rPr>
            </w:pPr>
            <w:r w:rsidRPr="00F44999">
              <w:rPr>
                <w:rFonts w:ascii="Calibri" w:eastAsia="Times New Roman" w:hAnsi="Calibri" w:cs="Times New Roman"/>
                <w:color w:val="FF0000"/>
                <w:sz w:val="18"/>
                <w:szCs w:val="18"/>
                <w:lang w:eastAsia="en-IE"/>
              </w:rPr>
              <w:t xml:space="preserve">-74 </w:t>
            </w:r>
          </w:p>
        </w:tc>
      </w:tr>
      <w:tr w:rsidR="00F44999" w:rsidRPr="00F44999" w:rsidTr="00EB2FD9">
        <w:trPr>
          <w:trHeight w:val="432"/>
        </w:trPr>
        <w:tc>
          <w:tcPr>
            <w:tcW w:w="1200" w:type="dxa"/>
            <w:tcBorders>
              <w:top w:val="nil"/>
              <w:left w:val="nil"/>
              <w:bottom w:val="nil"/>
              <w:right w:val="nil"/>
            </w:tcBorders>
            <w:shd w:val="clear" w:color="000000" w:fill="FFFF00"/>
            <w:vAlign w:val="bottom"/>
            <w:hideMark/>
          </w:tcPr>
          <w:p w:rsidR="00F44999" w:rsidRPr="00F44999" w:rsidRDefault="00F44999" w:rsidP="00F44999">
            <w:pPr>
              <w:spacing w:after="0" w:line="240" w:lineRule="auto"/>
              <w:rPr>
                <w:rFonts w:ascii="Calibri" w:eastAsia="Times New Roman" w:hAnsi="Calibri" w:cs="Times New Roman"/>
                <w:b/>
                <w:bCs/>
                <w:color w:val="000000"/>
                <w:sz w:val="16"/>
                <w:szCs w:val="16"/>
                <w:lang w:eastAsia="en-IE"/>
              </w:rPr>
            </w:pPr>
            <w:r w:rsidRPr="00F44999">
              <w:rPr>
                <w:rFonts w:ascii="Calibri" w:eastAsia="Times New Roman" w:hAnsi="Calibri" w:cs="Times New Roman"/>
                <w:b/>
                <w:bCs/>
                <w:color w:val="000000"/>
                <w:sz w:val="16"/>
                <w:szCs w:val="16"/>
                <w:lang w:eastAsia="en-IE"/>
              </w:rPr>
              <w:t>Operating surplus</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2,163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2,177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2,025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2,061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2,177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2,590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2,186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2,442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2,118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1,429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1,853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2,447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2,221 </w:t>
            </w:r>
          </w:p>
        </w:tc>
        <w:tc>
          <w:tcPr>
            <w:tcW w:w="628" w:type="dxa"/>
            <w:tcBorders>
              <w:top w:val="nil"/>
              <w:left w:val="nil"/>
              <w:bottom w:val="nil"/>
              <w:right w:val="nil"/>
            </w:tcBorders>
            <w:shd w:val="clear" w:color="000000" w:fill="FFFF00"/>
            <w:noWrap/>
            <w:vAlign w:val="bottom"/>
            <w:hideMark/>
          </w:tcPr>
          <w:p w:rsidR="00F44999" w:rsidRPr="00F44999" w:rsidRDefault="00F44999" w:rsidP="00F44999">
            <w:pPr>
              <w:spacing w:after="0" w:line="240" w:lineRule="auto"/>
              <w:rPr>
                <w:rFonts w:ascii="Calibri" w:eastAsia="Times New Roman" w:hAnsi="Calibri" w:cs="Times New Roman"/>
                <w:b/>
                <w:bCs/>
                <w:color w:val="000000"/>
                <w:sz w:val="18"/>
                <w:szCs w:val="18"/>
                <w:lang w:eastAsia="en-IE"/>
              </w:rPr>
            </w:pPr>
            <w:r w:rsidRPr="00F44999">
              <w:rPr>
                <w:rFonts w:ascii="Calibri" w:eastAsia="Times New Roman" w:hAnsi="Calibri" w:cs="Times New Roman"/>
                <w:b/>
                <w:bCs/>
                <w:color w:val="000000"/>
                <w:sz w:val="18"/>
                <w:szCs w:val="18"/>
                <w:lang w:eastAsia="en-IE"/>
              </w:rPr>
              <w:t xml:space="preserve">   2,254 </w:t>
            </w:r>
          </w:p>
        </w:tc>
      </w:tr>
    </w:tbl>
    <w:p w:rsidR="00F44999" w:rsidRDefault="00F44999" w:rsidP="00304366">
      <w:pPr>
        <w:spacing w:after="0" w:line="360" w:lineRule="auto"/>
        <w:rPr>
          <w:rFonts w:ascii="Times New Roman" w:hAnsi="Times New Roman" w:cs="Times New Roman"/>
        </w:rPr>
      </w:pPr>
    </w:p>
    <w:p w:rsidR="00FC4844" w:rsidRDefault="00F44999" w:rsidP="00304366">
      <w:pPr>
        <w:spacing w:after="0" w:line="360" w:lineRule="auto"/>
        <w:rPr>
          <w:rFonts w:ascii="Times New Roman" w:hAnsi="Times New Roman" w:cs="Times New Roman"/>
        </w:rPr>
      </w:pPr>
      <w:r w:rsidRPr="00F44999">
        <w:rPr>
          <w:rFonts w:ascii="Times New Roman" w:hAnsi="Times New Roman" w:cs="Times New Roman"/>
        </w:rPr>
        <w:t>Source: CSO OII Statbank; only key variables shown</w:t>
      </w:r>
    </w:p>
    <w:p w:rsidR="00EB2FD9" w:rsidRDefault="00EB2FD9">
      <w:pPr>
        <w:rPr>
          <w:rFonts w:ascii="Times New Roman" w:hAnsi="Times New Roman" w:cs="Times New Roman"/>
        </w:rPr>
      </w:pPr>
      <w:r>
        <w:rPr>
          <w:rFonts w:ascii="Times New Roman" w:hAnsi="Times New Roman" w:cs="Times New Roman"/>
        </w:rPr>
        <w:br w:type="page"/>
      </w:r>
    </w:p>
    <w:p w:rsidR="00EB4A2C" w:rsidRDefault="00EB4A2C" w:rsidP="0054670C">
      <w:pPr>
        <w:pStyle w:val="Heading4"/>
      </w:pPr>
      <w:r w:rsidRPr="00652F85">
        <w:lastRenderedPageBreak/>
        <w:t>National Farm Survey results 2013</w:t>
      </w:r>
    </w:p>
    <w:p w:rsidR="0054670C" w:rsidRPr="0054670C" w:rsidRDefault="0054670C" w:rsidP="0054670C"/>
    <w:tbl>
      <w:tblPr>
        <w:tblW w:w="9149" w:type="dxa"/>
        <w:tblInd w:w="93" w:type="dxa"/>
        <w:tblLook w:val="04A0"/>
      </w:tblPr>
      <w:tblGrid>
        <w:gridCol w:w="4228"/>
        <w:gridCol w:w="1206"/>
        <w:gridCol w:w="836"/>
        <w:gridCol w:w="711"/>
        <w:gridCol w:w="711"/>
        <w:gridCol w:w="746"/>
        <w:gridCol w:w="711"/>
      </w:tblGrid>
      <w:tr w:rsidR="00EB4A2C" w:rsidRPr="00EB4A2C" w:rsidTr="00EB4A2C">
        <w:trPr>
          <w:trHeight w:val="456"/>
        </w:trPr>
        <w:tc>
          <w:tcPr>
            <w:tcW w:w="4232" w:type="dxa"/>
            <w:tcBorders>
              <w:top w:val="single" w:sz="4" w:space="0" w:color="C4D79B"/>
              <w:left w:val="single" w:sz="4" w:space="0" w:color="C4D79B"/>
              <w:bottom w:val="single" w:sz="4" w:space="0" w:color="auto"/>
              <w:right w:val="nil"/>
            </w:tcBorders>
            <w:shd w:val="clear" w:color="EBF1DE" w:fill="EBF1DE"/>
            <w:vAlign w:val="center"/>
            <w:hideMark/>
          </w:tcPr>
          <w:p w:rsidR="00EB4A2C" w:rsidRPr="00EB4A2C" w:rsidRDefault="00EB4A2C" w:rsidP="00EB4A2C">
            <w:pPr>
              <w:spacing w:after="0" w:line="240" w:lineRule="auto"/>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NATIONAL FARM SURVEY 2013</w:t>
            </w:r>
          </w:p>
        </w:tc>
        <w:tc>
          <w:tcPr>
            <w:tcW w:w="1207" w:type="dxa"/>
            <w:tcBorders>
              <w:top w:val="single" w:sz="4" w:space="0" w:color="C4D79B"/>
              <w:left w:val="nil"/>
              <w:bottom w:val="single" w:sz="4" w:space="0" w:color="auto"/>
              <w:right w:val="nil"/>
            </w:tcBorders>
            <w:shd w:val="clear" w:color="EBF1DE" w:fill="EBF1DE"/>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Dairying</w:t>
            </w:r>
          </w:p>
        </w:tc>
        <w:tc>
          <w:tcPr>
            <w:tcW w:w="835" w:type="dxa"/>
            <w:tcBorders>
              <w:top w:val="single" w:sz="4" w:space="0" w:color="C4D79B"/>
              <w:left w:val="nil"/>
              <w:bottom w:val="single" w:sz="4" w:space="0" w:color="auto"/>
              <w:right w:val="nil"/>
            </w:tcBorders>
            <w:shd w:val="clear" w:color="EBF1DE" w:fill="DCE6F1"/>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Cattle Rearing</w:t>
            </w:r>
          </w:p>
        </w:tc>
        <w:tc>
          <w:tcPr>
            <w:tcW w:w="710" w:type="dxa"/>
            <w:tcBorders>
              <w:top w:val="single" w:sz="4" w:space="0" w:color="C4D79B"/>
              <w:left w:val="nil"/>
              <w:bottom w:val="single" w:sz="4" w:space="0" w:color="auto"/>
              <w:right w:val="nil"/>
            </w:tcBorders>
            <w:shd w:val="clear" w:color="EBF1DE" w:fill="DCE6F1"/>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Cattle Other</w:t>
            </w:r>
          </w:p>
        </w:tc>
        <w:tc>
          <w:tcPr>
            <w:tcW w:w="710" w:type="dxa"/>
            <w:tcBorders>
              <w:top w:val="single" w:sz="4" w:space="0" w:color="C4D79B"/>
              <w:left w:val="nil"/>
              <w:bottom w:val="single" w:sz="4" w:space="0" w:color="auto"/>
              <w:right w:val="nil"/>
            </w:tcBorders>
            <w:shd w:val="clear" w:color="EBF1DE" w:fill="DCE6F1"/>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Sheep</w:t>
            </w:r>
          </w:p>
        </w:tc>
        <w:tc>
          <w:tcPr>
            <w:tcW w:w="745" w:type="dxa"/>
            <w:tcBorders>
              <w:top w:val="single" w:sz="4" w:space="0" w:color="C4D79B"/>
              <w:left w:val="nil"/>
              <w:bottom w:val="single" w:sz="4" w:space="0" w:color="auto"/>
              <w:right w:val="nil"/>
            </w:tcBorders>
            <w:shd w:val="clear" w:color="EBF1DE" w:fill="EBF1DE"/>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Tillage</w:t>
            </w:r>
          </w:p>
        </w:tc>
        <w:tc>
          <w:tcPr>
            <w:tcW w:w="710" w:type="dxa"/>
            <w:tcBorders>
              <w:top w:val="single" w:sz="4" w:space="0" w:color="C4D79B"/>
              <w:left w:val="nil"/>
              <w:bottom w:val="single" w:sz="4" w:space="0" w:color="auto"/>
              <w:right w:val="single" w:sz="4" w:space="0" w:color="C4D79B"/>
            </w:tcBorders>
            <w:shd w:val="clear" w:color="EBF1DE" w:fill="EBF1DE"/>
            <w:vAlign w:val="center"/>
            <w:hideMark/>
          </w:tcPr>
          <w:p w:rsidR="00EB4A2C" w:rsidRPr="00EB4A2C" w:rsidRDefault="00EB4A2C" w:rsidP="00EB4A2C">
            <w:pPr>
              <w:spacing w:after="0" w:line="240" w:lineRule="auto"/>
              <w:jc w:val="center"/>
              <w:rPr>
                <w:rFonts w:ascii="Times New Roman" w:eastAsia="Times New Roman" w:hAnsi="Times New Roman" w:cs="Times New Roman"/>
                <w:b/>
                <w:bCs/>
                <w:color w:val="000000"/>
                <w:sz w:val="18"/>
                <w:szCs w:val="18"/>
                <w:lang w:eastAsia="en-IE"/>
              </w:rPr>
            </w:pPr>
            <w:r w:rsidRPr="00EB4A2C">
              <w:rPr>
                <w:rFonts w:ascii="Times New Roman" w:eastAsia="Times New Roman" w:hAnsi="Times New Roman" w:cs="Times New Roman"/>
                <w:b/>
                <w:bCs/>
                <w:color w:val="000000"/>
                <w:sz w:val="18"/>
                <w:szCs w:val="18"/>
                <w:lang w:eastAsia="en-IE"/>
              </w:rPr>
              <w:t>All Sizes</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Total farms represented</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15,583</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16,691</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24,601</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12,656</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6,645</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79,103</w:t>
            </w:r>
          </w:p>
        </w:tc>
      </w:tr>
      <w:tr w:rsidR="00EB4A2C" w:rsidRPr="00EB4A2C" w:rsidTr="00EB4A2C">
        <w:trPr>
          <w:trHeight w:val="240"/>
        </w:trPr>
        <w:tc>
          <w:tcPr>
            <w:tcW w:w="4232" w:type="dxa"/>
            <w:tcBorders>
              <w:top w:val="nil"/>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 of all farms</w:t>
            </w:r>
          </w:p>
        </w:tc>
        <w:tc>
          <w:tcPr>
            <w:tcW w:w="1207"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20%</w:t>
            </w:r>
          </w:p>
        </w:tc>
        <w:tc>
          <w:tcPr>
            <w:tcW w:w="835"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21%</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31%</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16%</w:t>
            </w:r>
          </w:p>
        </w:tc>
        <w:tc>
          <w:tcPr>
            <w:tcW w:w="745"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8%</w:t>
            </w:r>
          </w:p>
        </w:tc>
        <w:tc>
          <w:tcPr>
            <w:tcW w:w="710" w:type="dxa"/>
            <w:tcBorders>
              <w:top w:val="nil"/>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100%</w:t>
            </w:r>
          </w:p>
        </w:tc>
      </w:tr>
      <w:tr w:rsidR="00EB4A2C" w:rsidRPr="00EB4A2C" w:rsidTr="00EB4A2C">
        <w:trPr>
          <w:trHeight w:val="165"/>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14,792</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2,136</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5,616</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4,588</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2,927</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32,274</w:t>
            </w:r>
          </w:p>
        </w:tc>
      </w:tr>
      <w:tr w:rsidR="00EB4A2C" w:rsidRPr="00EB4A2C" w:rsidTr="00EB4A2C">
        <w:trPr>
          <w:trHeight w:val="240"/>
        </w:trPr>
        <w:tc>
          <w:tcPr>
            <w:tcW w:w="4232" w:type="dxa"/>
            <w:tcBorders>
              <w:top w:val="nil"/>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791</w:t>
            </w:r>
          </w:p>
        </w:tc>
        <w:tc>
          <w:tcPr>
            <w:tcW w:w="835"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14,555</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18,985</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7,989</w:t>
            </w:r>
          </w:p>
        </w:tc>
        <w:tc>
          <w:tcPr>
            <w:tcW w:w="745"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3,639</w:t>
            </w:r>
          </w:p>
        </w:tc>
        <w:tc>
          <w:tcPr>
            <w:tcW w:w="710" w:type="dxa"/>
            <w:tcBorders>
              <w:top w:val="nil"/>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46,433</w:t>
            </w:r>
          </w:p>
        </w:tc>
      </w:tr>
      <w:tr w:rsidR="00EB4A2C" w:rsidRPr="00EB4A2C" w:rsidTr="00EB4A2C">
        <w:trPr>
          <w:trHeight w:val="240"/>
        </w:trPr>
        <w:tc>
          <w:tcPr>
            <w:tcW w:w="5439" w:type="dxa"/>
            <w:gridSpan w:val="2"/>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 Full time defined as requiring at least 0.75 of a standard Labour Unit</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i/>
                <w:iCs/>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 full time by system</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95%</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13%</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23%</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36%</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44%</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41%</w:t>
            </w:r>
          </w:p>
        </w:tc>
      </w:tr>
      <w:tr w:rsidR="00EB4A2C" w:rsidRPr="00EB4A2C" w:rsidTr="00EB4A2C">
        <w:trPr>
          <w:trHeight w:val="240"/>
        </w:trPr>
        <w:tc>
          <w:tcPr>
            <w:tcW w:w="4232" w:type="dxa"/>
            <w:tcBorders>
              <w:top w:val="nil"/>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 part time by system</w:t>
            </w:r>
          </w:p>
        </w:tc>
        <w:tc>
          <w:tcPr>
            <w:tcW w:w="1207"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5%</w:t>
            </w:r>
          </w:p>
        </w:tc>
        <w:tc>
          <w:tcPr>
            <w:tcW w:w="835"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87%</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77%</w:t>
            </w:r>
          </w:p>
        </w:tc>
        <w:tc>
          <w:tcPr>
            <w:tcW w:w="710" w:type="dxa"/>
            <w:tcBorders>
              <w:top w:val="nil"/>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i/>
                <w:iCs/>
                <w:sz w:val="18"/>
                <w:szCs w:val="18"/>
                <w:lang w:eastAsia="en-IE"/>
              </w:rPr>
            </w:pPr>
            <w:r w:rsidRPr="00EB4A2C">
              <w:rPr>
                <w:rFonts w:ascii="Times New Roman" w:eastAsia="Times New Roman" w:hAnsi="Times New Roman" w:cs="Times New Roman"/>
                <w:b/>
                <w:bCs/>
                <w:i/>
                <w:iCs/>
                <w:sz w:val="18"/>
                <w:szCs w:val="18"/>
                <w:lang w:eastAsia="en-IE"/>
              </w:rPr>
              <w:t>63%</w:t>
            </w:r>
          </w:p>
        </w:tc>
        <w:tc>
          <w:tcPr>
            <w:tcW w:w="745" w:type="dxa"/>
            <w:tcBorders>
              <w:top w:val="nil"/>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55%</w:t>
            </w:r>
          </w:p>
        </w:tc>
        <w:tc>
          <w:tcPr>
            <w:tcW w:w="710" w:type="dxa"/>
            <w:tcBorders>
              <w:top w:val="nil"/>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i/>
                <w:iCs/>
                <w:sz w:val="18"/>
                <w:szCs w:val="18"/>
                <w:lang w:eastAsia="en-IE"/>
              </w:rPr>
            </w:pPr>
            <w:r w:rsidRPr="00EB4A2C">
              <w:rPr>
                <w:rFonts w:ascii="Times New Roman" w:eastAsia="Times New Roman" w:hAnsi="Times New Roman" w:cs="Times New Roman"/>
                <w:i/>
                <w:iCs/>
                <w:sz w:val="18"/>
                <w:szCs w:val="18"/>
                <w:lang w:eastAsia="en-IE"/>
              </w:rPr>
              <w:t>59%</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Family farm income</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65,287</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20,019</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30,999</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19,506</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46,073</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47,646</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19,869</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7,988</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11,141</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7,252</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15,056</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9,953</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62,994</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9,541</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15,667</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11,731</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28,797</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25,437</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Direct payments as % FFI</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33%</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150%</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104%</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141%</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90%</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57%</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48%</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170%</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132%</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185%</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95%</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140%</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34%</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165%</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119%</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158%</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92%</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77%</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5439" w:type="dxa"/>
            <w:gridSpan w:val="2"/>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Utilisable Agricultural Area (UAA) ha</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57</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66</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69</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65</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101</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66</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24</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34</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32</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47</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32</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35</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55</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38</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40</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53</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63</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48</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Family farm income per ha</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1,143</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306</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449</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301</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456</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724</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814</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235</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351</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156</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469</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285</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1,137</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250</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389</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220</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460</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534</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Direct payments per ha</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382</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460</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466</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425</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412</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416</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391</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399</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464</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287</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446</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400</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383</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412</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464</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348</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422</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409</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nil"/>
              <w:left w:val="nil"/>
              <w:bottom w:val="nil"/>
              <w:right w:val="nil"/>
            </w:tcBorders>
            <w:shd w:val="clear" w:color="auto" w:fill="auto"/>
            <w:noWrap/>
            <w:vAlign w:val="center"/>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Market return per ha (UAA)**</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761 </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-154 </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-17 </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-124 </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44 </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308 </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423 </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-164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-112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-132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23 </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color w:val="FF0000"/>
                <w:sz w:val="18"/>
                <w:szCs w:val="18"/>
                <w:lang w:eastAsia="en-IE"/>
              </w:rPr>
              <w:t xml:space="preserve">-115 </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755 </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color w:val="FF0000"/>
                <w:sz w:val="18"/>
                <w:szCs w:val="18"/>
                <w:lang w:eastAsia="en-IE"/>
              </w:rPr>
              <w:t xml:space="preserve">-162 </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color w:val="FF0000"/>
                <w:sz w:val="18"/>
                <w:szCs w:val="18"/>
                <w:lang w:eastAsia="en-IE"/>
              </w:rPr>
              <w:t xml:space="preserve">-75 </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color w:val="FF0000"/>
                <w:sz w:val="18"/>
                <w:szCs w:val="18"/>
                <w:lang w:eastAsia="en-IE"/>
              </w:rPr>
              <w:t xml:space="preserve">-128 </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38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125 </w:t>
            </w:r>
          </w:p>
        </w:tc>
      </w:tr>
      <w:tr w:rsidR="00EB4A2C" w:rsidRPr="00EB4A2C" w:rsidTr="00EB4A2C">
        <w:trPr>
          <w:trHeight w:val="240"/>
        </w:trPr>
        <w:tc>
          <w:tcPr>
            <w:tcW w:w="9149" w:type="dxa"/>
            <w:gridSpan w:val="7"/>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Gross output, excluding direct payments, minus direct and overhead costs </w:t>
            </w:r>
          </w:p>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r>
      <w:tr w:rsidR="00EB4A2C" w:rsidRPr="00EB4A2C" w:rsidTr="00EB4A2C">
        <w:trPr>
          <w:trHeight w:val="240"/>
        </w:trPr>
        <w:tc>
          <w:tcPr>
            <w:tcW w:w="5439" w:type="dxa"/>
            <w:gridSpan w:val="2"/>
            <w:tcBorders>
              <w:top w:val="nil"/>
              <w:left w:val="nil"/>
              <w:bottom w:val="nil"/>
              <w:right w:val="nil"/>
            </w:tcBorders>
            <w:shd w:val="clear" w:color="auto" w:fill="auto"/>
            <w:noWrap/>
            <w:vAlign w:val="center"/>
            <w:hideMark/>
          </w:tcPr>
          <w:p w:rsidR="00EB4A2C" w:rsidRPr="00EB4A2C" w:rsidRDefault="00EB4A2C" w:rsidP="00EB4A2C">
            <w:pPr>
              <w:spacing w:after="0" w:line="240" w:lineRule="auto"/>
              <w:rPr>
                <w:rFonts w:ascii="Times New Roman" w:eastAsia="Times New Roman" w:hAnsi="Times New Roman" w:cs="Times New Roman"/>
                <w:b/>
                <w:bCs/>
                <w:sz w:val="18"/>
                <w:szCs w:val="18"/>
                <w:u w:val="single"/>
                <w:lang w:eastAsia="en-IE"/>
              </w:rPr>
            </w:pPr>
            <w:r w:rsidRPr="00EB4A2C">
              <w:rPr>
                <w:rFonts w:ascii="Times New Roman" w:eastAsia="Times New Roman" w:hAnsi="Times New Roman" w:cs="Times New Roman"/>
                <w:b/>
                <w:bCs/>
                <w:sz w:val="18"/>
                <w:szCs w:val="18"/>
                <w:u w:val="single"/>
                <w:lang w:eastAsia="en-IE"/>
              </w:rPr>
              <w:t>% of farm holders with off farm job</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4232" w:type="dxa"/>
            <w:tcBorders>
              <w:top w:val="single" w:sz="4" w:space="0" w:color="auto"/>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Full time farms</w:t>
            </w:r>
          </w:p>
        </w:tc>
        <w:tc>
          <w:tcPr>
            <w:tcW w:w="1207"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7 </w:t>
            </w:r>
          </w:p>
        </w:tc>
        <w:tc>
          <w:tcPr>
            <w:tcW w:w="835"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25 </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19 </w:t>
            </w:r>
          </w:p>
        </w:tc>
        <w:tc>
          <w:tcPr>
            <w:tcW w:w="710" w:type="dxa"/>
            <w:tcBorders>
              <w:top w:val="single" w:sz="4" w:space="0" w:color="auto"/>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17 </w:t>
            </w:r>
          </w:p>
        </w:tc>
        <w:tc>
          <w:tcPr>
            <w:tcW w:w="745" w:type="dxa"/>
            <w:tcBorders>
              <w:top w:val="single" w:sz="4" w:space="0" w:color="auto"/>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12 </w:t>
            </w:r>
          </w:p>
        </w:tc>
        <w:tc>
          <w:tcPr>
            <w:tcW w:w="710" w:type="dxa"/>
            <w:tcBorders>
              <w:top w:val="single" w:sz="4" w:space="0" w:color="auto"/>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12 </w:t>
            </w:r>
          </w:p>
        </w:tc>
      </w:tr>
      <w:tr w:rsidR="00EB4A2C" w:rsidRPr="00EB4A2C" w:rsidTr="00EB4A2C">
        <w:trPr>
          <w:trHeight w:val="240"/>
        </w:trPr>
        <w:tc>
          <w:tcPr>
            <w:tcW w:w="4232" w:type="dxa"/>
            <w:tcBorders>
              <w:top w:val="nil"/>
              <w:left w:val="single" w:sz="4" w:space="0" w:color="auto"/>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Part time farms</w:t>
            </w: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30 </w:t>
            </w: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45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37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35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54 </w:t>
            </w:r>
          </w:p>
        </w:tc>
        <w:tc>
          <w:tcPr>
            <w:tcW w:w="710" w:type="dxa"/>
            <w:tcBorders>
              <w:top w:val="nil"/>
              <w:left w:val="nil"/>
              <w:bottom w:val="nil"/>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xml:space="preserve">40 </w:t>
            </w:r>
          </w:p>
        </w:tc>
      </w:tr>
      <w:tr w:rsidR="00EB4A2C" w:rsidRPr="00EB4A2C" w:rsidTr="00EB4A2C">
        <w:trPr>
          <w:trHeight w:val="240"/>
        </w:trPr>
        <w:tc>
          <w:tcPr>
            <w:tcW w:w="4232" w:type="dxa"/>
            <w:tcBorders>
              <w:top w:val="single" w:sz="4" w:space="0" w:color="auto"/>
              <w:left w:val="single" w:sz="4" w:space="0" w:color="auto"/>
              <w:bottom w:val="single" w:sz="4" w:space="0" w:color="auto"/>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All farms</w:t>
            </w:r>
          </w:p>
        </w:tc>
        <w:tc>
          <w:tcPr>
            <w:tcW w:w="1207"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8 </w:t>
            </w:r>
          </w:p>
        </w:tc>
        <w:tc>
          <w:tcPr>
            <w:tcW w:w="835"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43 </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33 </w:t>
            </w:r>
          </w:p>
        </w:tc>
        <w:tc>
          <w:tcPr>
            <w:tcW w:w="710" w:type="dxa"/>
            <w:tcBorders>
              <w:top w:val="single" w:sz="4" w:space="0" w:color="auto"/>
              <w:left w:val="nil"/>
              <w:bottom w:val="single" w:sz="4" w:space="0" w:color="auto"/>
              <w:right w:val="nil"/>
            </w:tcBorders>
            <w:shd w:val="clear" w:color="000000" w:fill="DCE6F1"/>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29 </w:t>
            </w:r>
          </w:p>
        </w:tc>
        <w:tc>
          <w:tcPr>
            <w:tcW w:w="745" w:type="dxa"/>
            <w:tcBorders>
              <w:top w:val="single" w:sz="4" w:space="0" w:color="auto"/>
              <w:left w:val="nil"/>
              <w:bottom w:val="single" w:sz="4" w:space="0" w:color="auto"/>
              <w:right w:val="nil"/>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35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B4A2C" w:rsidRPr="00EB4A2C" w:rsidRDefault="00EB4A2C" w:rsidP="00EB4A2C">
            <w:pPr>
              <w:spacing w:after="0" w:line="240" w:lineRule="auto"/>
              <w:jc w:val="right"/>
              <w:rPr>
                <w:rFonts w:ascii="Times New Roman" w:eastAsia="Times New Roman" w:hAnsi="Times New Roman" w:cs="Times New Roman"/>
                <w:b/>
                <w:bCs/>
                <w:sz w:val="18"/>
                <w:szCs w:val="18"/>
                <w:lang w:eastAsia="en-IE"/>
              </w:rPr>
            </w:pPr>
            <w:r w:rsidRPr="00EB4A2C">
              <w:rPr>
                <w:rFonts w:ascii="Times New Roman" w:eastAsia="Times New Roman" w:hAnsi="Times New Roman" w:cs="Times New Roman"/>
                <w:b/>
                <w:bCs/>
                <w:sz w:val="18"/>
                <w:szCs w:val="18"/>
                <w:lang w:eastAsia="en-IE"/>
              </w:rPr>
              <w:t xml:space="preserve">29 </w:t>
            </w:r>
          </w:p>
        </w:tc>
      </w:tr>
      <w:tr w:rsidR="00EB4A2C" w:rsidRPr="00EB4A2C" w:rsidTr="00EB4A2C">
        <w:trPr>
          <w:trHeight w:val="240"/>
        </w:trPr>
        <w:tc>
          <w:tcPr>
            <w:tcW w:w="4232"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1207"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835"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10" w:type="dxa"/>
            <w:tcBorders>
              <w:top w:val="nil"/>
              <w:left w:val="nil"/>
              <w:bottom w:val="nil"/>
              <w:right w:val="nil"/>
            </w:tcBorders>
            <w:shd w:val="clear" w:color="000000" w:fill="DCE6F1"/>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c>
          <w:tcPr>
            <w:tcW w:w="745"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c>
          <w:tcPr>
            <w:tcW w:w="710" w:type="dxa"/>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p>
        </w:tc>
      </w:tr>
      <w:tr w:rsidR="00EB4A2C" w:rsidRPr="00EB4A2C" w:rsidTr="00EB4A2C">
        <w:trPr>
          <w:trHeight w:val="240"/>
        </w:trPr>
        <w:tc>
          <w:tcPr>
            <w:tcW w:w="9149" w:type="dxa"/>
            <w:gridSpan w:val="7"/>
            <w:tcBorders>
              <w:top w:val="nil"/>
              <w:left w:val="nil"/>
              <w:bottom w:val="nil"/>
              <w:right w:val="nil"/>
            </w:tcBorders>
            <w:shd w:val="clear" w:color="auto" w:fill="auto"/>
            <w:noWrap/>
            <w:vAlign w:val="bottom"/>
            <w:hideMark/>
          </w:tcPr>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Note: Results for mixed livestock farms (representing 2,600 farms) excluded</w:t>
            </w:r>
          </w:p>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p w:rsidR="00EB4A2C" w:rsidRPr="00EB4A2C" w:rsidRDefault="00EB4A2C" w:rsidP="00EB4A2C">
            <w:pPr>
              <w:spacing w:after="0" w:line="240" w:lineRule="auto"/>
              <w:rPr>
                <w:rFonts w:ascii="Times New Roman" w:eastAsia="Times New Roman" w:hAnsi="Times New Roman" w:cs="Times New Roman"/>
                <w:sz w:val="18"/>
                <w:szCs w:val="18"/>
                <w:lang w:eastAsia="en-IE"/>
              </w:rPr>
            </w:pPr>
            <w:r w:rsidRPr="00EB4A2C">
              <w:rPr>
                <w:rFonts w:ascii="Times New Roman" w:eastAsia="Times New Roman" w:hAnsi="Times New Roman" w:cs="Times New Roman"/>
                <w:sz w:val="18"/>
                <w:szCs w:val="18"/>
                <w:lang w:eastAsia="en-IE"/>
              </w:rPr>
              <w:t> </w:t>
            </w:r>
          </w:p>
        </w:tc>
      </w:tr>
    </w:tbl>
    <w:p w:rsidR="0086038F" w:rsidRDefault="0086038F">
      <w:pPr>
        <w:rPr>
          <w:rFonts w:ascii="Times New Roman" w:hAnsi="Times New Roman" w:cs="Times New Roman"/>
        </w:rPr>
      </w:pPr>
    </w:p>
    <w:p w:rsidR="0054670C" w:rsidRDefault="0054670C" w:rsidP="0054670C">
      <w:pPr>
        <w:pStyle w:val="Heading4"/>
      </w:pPr>
      <w:r>
        <w:lastRenderedPageBreak/>
        <w:t>CAP Analysis database 2010 by size (standard output)</w:t>
      </w:r>
    </w:p>
    <w:p w:rsidR="0054670C" w:rsidRDefault="0054670C">
      <w:pPr>
        <w:rPr>
          <w:rFonts w:ascii="Times New Roman" w:hAnsi="Times New Roman" w:cs="Times New Roman"/>
        </w:rPr>
      </w:pPr>
      <w:r w:rsidRPr="0054670C">
        <w:rPr>
          <w:noProof/>
          <w:lang w:eastAsia="en-IE"/>
        </w:rPr>
        <w:drawing>
          <wp:inline distT="0" distB="0" distL="0" distR="0">
            <wp:extent cx="4463415" cy="5149215"/>
            <wp:effectExtent l="19050" t="19050" r="13335"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63415" cy="5149215"/>
                    </a:xfrm>
                    <a:prstGeom prst="rect">
                      <a:avLst/>
                    </a:prstGeom>
                    <a:noFill/>
                    <a:ln>
                      <a:solidFill>
                        <a:schemeClr val="accent1"/>
                      </a:solidFill>
                    </a:ln>
                  </pic:spPr>
                </pic:pic>
              </a:graphicData>
            </a:graphic>
          </wp:inline>
        </w:drawing>
      </w:r>
    </w:p>
    <w:p w:rsidR="0054670C" w:rsidRPr="00427A79" w:rsidRDefault="0054670C" w:rsidP="00427A79">
      <w:pPr>
        <w:spacing w:after="0" w:line="360" w:lineRule="auto"/>
        <w:rPr>
          <w:rFonts w:ascii="Times New Roman" w:hAnsi="Times New Roman" w:cs="Times New Roman"/>
          <w:sz w:val="22"/>
          <w:szCs w:val="22"/>
        </w:rPr>
      </w:pPr>
      <w:r w:rsidRPr="00427A79">
        <w:rPr>
          <w:rFonts w:ascii="Times New Roman" w:hAnsi="Times New Roman" w:cs="Times New Roman"/>
          <w:b/>
          <w:sz w:val="22"/>
          <w:szCs w:val="22"/>
        </w:rPr>
        <w:t>Small:</w:t>
      </w:r>
      <w:r w:rsidRPr="00427A79">
        <w:rPr>
          <w:rFonts w:ascii="Times New Roman" w:hAnsi="Times New Roman" w:cs="Times New Roman"/>
          <w:sz w:val="22"/>
          <w:szCs w:val="22"/>
        </w:rPr>
        <w:t xml:space="preserve"> standard output &lt;€8,000</w:t>
      </w:r>
    </w:p>
    <w:p w:rsidR="0054670C" w:rsidRPr="00427A79" w:rsidRDefault="0054670C" w:rsidP="00427A79">
      <w:pPr>
        <w:spacing w:after="0" w:line="360" w:lineRule="auto"/>
        <w:rPr>
          <w:rFonts w:ascii="Times New Roman" w:hAnsi="Times New Roman" w:cs="Times New Roman"/>
          <w:sz w:val="22"/>
          <w:szCs w:val="22"/>
        </w:rPr>
      </w:pPr>
      <w:r w:rsidRPr="00427A79">
        <w:rPr>
          <w:rFonts w:ascii="Times New Roman" w:hAnsi="Times New Roman" w:cs="Times New Roman"/>
          <w:b/>
          <w:sz w:val="22"/>
          <w:szCs w:val="22"/>
        </w:rPr>
        <w:t>Medium:</w:t>
      </w:r>
      <w:r w:rsidRPr="00427A79">
        <w:rPr>
          <w:rFonts w:ascii="Times New Roman" w:hAnsi="Times New Roman" w:cs="Times New Roman"/>
          <w:sz w:val="22"/>
          <w:szCs w:val="22"/>
        </w:rPr>
        <w:t xml:space="preserve"> standard output between €8,000 and €48,000</w:t>
      </w:r>
    </w:p>
    <w:p w:rsidR="0054670C" w:rsidRPr="00427A79" w:rsidRDefault="0054670C" w:rsidP="00427A79">
      <w:pPr>
        <w:spacing w:after="0" w:line="360" w:lineRule="auto"/>
        <w:rPr>
          <w:rFonts w:ascii="Times New Roman" w:hAnsi="Times New Roman" w:cs="Times New Roman"/>
          <w:sz w:val="22"/>
          <w:szCs w:val="22"/>
        </w:rPr>
      </w:pPr>
      <w:r w:rsidRPr="00427A79">
        <w:rPr>
          <w:rFonts w:ascii="Times New Roman" w:hAnsi="Times New Roman" w:cs="Times New Roman"/>
          <w:b/>
          <w:sz w:val="22"/>
          <w:szCs w:val="22"/>
        </w:rPr>
        <w:t>Large:</w:t>
      </w:r>
      <w:r w:rsidRPr="00427A79">
        <w:rPr>
          <w:rFonts w:ascii="Times New Roman" w:hAnsi="Times New Roman" w:cs="Times New Roman"/>
          <w:sz w:val="22"/>
          <w:szCs w:val="22"/>
        </w:rPr>
        <w:t xml:space="preserve"> standard </w:t>
      </w:r>
      <w:r w:rsidR="0075050E" w:rsidRPr="00427A79">
        <w:rPr>
          <w:rFonts w:ascii="Times New Roman" w:hAnsi="Times New Roman" w:cs="Times New Roman"/>
          <w:sz w:val="22"/>
          <w:szCs w:val="22"/>
        </w:rPr>
        <w:t>output &gt;</w:t>
      </w:r>
      <w:r w:rsidRPr="00427A79">
        <w:rPr>
          <w:rFonts w:ascii="Times New Roman" w:hAnsi="Times New Roman" w:cs="Times New Roman"/>
          <w:sz w:val="22"/>
          <w:szCs w:val="22"/>
        </w:rPr>
        <w:t>€48,000</w:t>
      </w:r>
    </w:p>
    <w:p w:rsidR="0075050E" w:rsidRPr="00427A79" w:rsidRDefault="0075050E" w:rsidP="00427A79">
      <w:pPr>
        <w:pStyle w:val="EndnoteText"/>
        <w:spacing w:line="360" w:lineRule="auto"/>
        <w:rPr>
          <w:rFonts w:ascii="Times New Roman" w:hAnsi="Times New Roman" w:cs="Times New Roman"/>
          <w:sz w:val="22"/>
          <w:szCs w:val="22"/>
        </w:rPr>
      </w:pPr>
      <w:r w:rsidRPr="00427A79">
        <w:rPr>
          <w:rFonts w:ascii="Times New Roman" w:hAnsi="Times New Roman" w:cs="Times New Roman"/>
          <w:b/>
          <w:sz w:val="22"/>
          <w:szCs w:val="22"/>
        </w:rPr>
        <w:t xml:space="preserve">Standard output (SO) </w:t>
      </w:r>
      <w:r w:rsidRPr="00427A79">
        <w:rPr>
          <w:rFonts w:ascii="Times New Roman" w:hAnsi="Times New Roman" w:cs="Times New Roman"/>
          <w:sz w:val="22"/>
          <w:szCs w:val="22"/>
        </w:rPr>
        <w:t>is the average monetary value of the agricultural output at farm-gate price. The SO excludes direct payments, VAT and taxes on products.</w:t>
      </w:r>
    </w:p>
    <w:p w:rsidR="00427A79" w:rsidRPr="00427A79" w:rsidRDefault="00427A79" w:rsidP="00427A79">
      <w:pPr>
        <w:spacing w:after="0" w:line="360" w:lineRule="auto"/>
        <w:rPr>
          <w:rFonts w:ascii="Times New Roman" w:hAnsi="Times New Roman" w:cs="Times New Roman"/>
          <w:b/>
          <w:sz w:val="22"/>
          <w:szCs w:val="22"/>
          <w:u w:val="single"/>
        </w:rPr>
      </w:pPr>
      <w:r w:rsidRPr="00427A79">
        <w:rPr>
          <w:rFonts w:ascii="Times New Roman" w:hAnsi="Times New Roman" w:cs="Times New Roman"/>
          <w:b/>
          <w:sz w:val="22"/>
          <w:szCs w:val="22"/>
          <w:u w:val="single"/>
        </w:rPr>
        <w:t>Notes:</w:t>
      </w:r>
    </w:p>
    <w:p w:rsidR="00427A79" w:rsidRPr="00427A79" w:rsidRDefault="00427A79" w:rsidP="009339E0">
      <w:pPr>
        <w:pStyle w:val="ListParagraph"/>
        <w:numPr>
          <w:ilvl w:val="0"/>
          <w:numId w:val="8"/>
        </w:numPr>
        <w:spacing w:after="0" w:line="360" w:lineRule="auto"/>
        <w:rPr>
          <w:rFonts w:ascii="Times New Roman" w:hAnsi="Times New Roman" w:cs="Times New Roman"/>
          <w:sz w:val="22"/>
          <w:szCs w:val="22"/>
        </w:rPr>
      </w:pPr>
      <w:r w:rsidRPr="00427A79">
        <w:rPr>
          <w:rFonts w:ascii="Times New Roman" w:hAnsi="Times New Roman" w:cs="Times New Roman"/>
          <w:sz w:val="22"/>
          <w:szCs w:val="22"/>
        </w:rPr>
        <w:t>This analysis is based on DAFM SPS recipients database, 2010</w:t>
      </w:r>
    </w:p>
    <w:p w:rsidR="00427A79" w:rsidRPr="00427A79" w:rsidRDefault="00427A79" w:rsidP="009339E0">
      <w:pPr>
        <w:pStyle w:val="ListParagraph"/>
        <w:numPr>
          <w:ilvl w:val="0"/>
          <w:numId w:val="8"/>
        </w:numPr>
        <w:spacing w:after="0" w:line="360" w:lineRule="auto"/>
        <w:rPr>
          <w:rFonts w:ascii="Times New Roman" w:hAnsi="Times New Roman" w:cs="Times New Roman"/>
          <w:sz w:val="22"/>
          <w:szCs w:val="22"/>
        </w:rPr>
      </w:pPr>
      <w:r w:rsidRPr="00427A79">
        <w:rPr>
          <w:rFonts w:ascii="Times New Roman" w:hAnsi="Times New Roman" w:cs="Times New Roman"/>
          <w:sz w:val="22"/>
          <w:szCs w:val="22"/>
        </w:rPr>
        <w:t xml:space="preserve">‘Large’ and ‘medium’ categories (total 75,000) together correspond roughly with the 80,000 farms represented by the National Farm Survey. </w:t>
      </w:r>
    </w:p>
    <w:p w:rsidR="00427A79" w:rsidRPr="00427A79" w:rsidRDefault="00427A79" w:rsidP="009339E0">
      <w:pPr>
        <w:pStyle w:val="ListParagraph"/>
        <w:numPr>
          <w:ilvl w:val="0"/>
          <w:numId w:val="8"/>
        </w:numPr>
        <w:spacing w:after="0" w:line="360" w:lineRule="auto"/>
        <w:rPr>
          <w:rFonts w:ascii="Times New Roman" w:hAnsi="Times New Roman" w:cs="Times New Roman"/>
          <w:sz w:val="22"/>
          <w:szCs w:val="22"/>
        </w:rPr>
      </w:pPr>
      <w:r w:rsidRPr="00427A79">
        <w:rPr>
          <w:rFonts w:ascii="Times New Roman" w:hAnsi="Times New Roman" w:cs="Times New Roman"/>
          <w:sz w:val="22"/>
          <w:szCs w:val="22"/>
        </w:rPr>
        <w:t xml:space="preserve">‘Small’ represents almost 50,000  farms with standard output below €8,000, so not represented by the NFS.  </w:t>
      </w:r>
    </w:p>
    <w:p w:rsidR="0054670C" w:rsidRPr="00427A79" w:rsidRDefault="00427A79" w:rsidP="009339E0">
      <w:pPr>
        <w:pStyle w:val="ListParagraph"/>
        <w:numPr>
          <w:ilvl w:val="0"/>
          <w:numId w:val="8"/>
        </w:numPr>
        <w:spacing w:after="0" w:line="360" w:lineRule="auto"/>
        <w:rPr>
          <w:rFonts w:ascii="Times New Roman" w:hAnsi="Times New Roman" w:cs="Times New Roman"/>
        </w:rPr>
      </w:pPr>
      <w:r w:rsidRPr="00427A79">
        <w:rPr>
          <w:rFonts w:ascii="Times New Roman" w:hAnsi="Times New Roman" w:cs="Times New Roman"/>
          <w:sz w:val="22"/>
          <w:szCs w:val="22"/>
        </w:rPr>
        <w:t>Farms excluded from this database would include specialist pig and poultry farmers, and farms not in receipt of single payments, presumably many of which are micro/hobby farms.</w:t>
      </w:r>
      <w:r w:rsidR="0054670C" w:rsidRPr="00427A79">
        <w:rPr>
          <w:rFonts w:ascii="Times New Roman" w:hAnsi="Times New Roman" w:cs="Times New Roman"/>
        </w:rPr>
        <w:br w:type="page"/>
      </w:r>
    </w:p>
    <w:p w:rsidR="00EB4A2C" w:rsidRDefault="0086038F" w:rsidP="0054670C">
      <w:pPr>
        <w:pStyle w:val="Heading4"/>
      </w:pPr>
      <w:r w:rsidRPr="00652F85">
        <w:lastRenderedPageBreak/>
        <w:t xml:space="preserve"> Labour Input requirement, NFS 2012</w:t>
      </w:r>
    </w:p>
    <w:p w:rsidR="00783A69" w:rsidRPr="00783A69" w:rsidRDefault="00783A69" w:rsidP="00783A69"/>
    <w:tbl>
      <w:tblPr>
        <w:tblW w:w="9390" w:type="dxa"/>
        <w:tblInd w:w="93" w:type="dxa"/>
        <w:tblLook w:val="04A0"/>
      </w:tblPr>
      <w:tblGrid>
        <w:gridCol w:w="2898"/>
        <w:gridCol w:w="1082"/>
        <w:gridCol w:w="1082"/>
        <w:gridCol w:w="1082"/>
        <w:gridCol w:w="1082"/>
        <w:gridCol w:w="1082"/>
        <w:gridCol w:w="1082"/>
      </w:tblGrid>
      <w:tr w:rsidR="0086038F" w:rsidRPr="0086038F" w:rsidTr="0086038F">
        <w:trPr>
          <w:trHeight w:val="312"/>
        </w:trPr>
        <w:tc>
          <w:tcPr>
            <w:tcW w:w="9390" w:type="dxa"/>
            <w:gridSpan w:val="7"/>
            <w:tcBorders>
              <w:top w:val="single" w:sz="8" w:space="0" w:color="auto"/>
              <w:left w:val="single" w:sz="8" w:space="0" w:color="auto"/>
              <w:bottom w:val="nil"/>
              <w:right w:val="single" w:sz="8" w:space="0" w:color="000000"/>
            </w:tcBorders>
            <w:shd w:val="clear" w:color="000000" w:fill="95B3D7"/>
            <w:noWrap/>
            <w:vAlign w:val="bottom"/>
            <w:hideMark/>
          </w:tcPr>
          <w:p w:rsidR="0086038F" w:rsidRPr="0086038F" w:rsidRDefault="0086038F" w:rsidP="0086038F">
            <w:pPr>
              <w:spacing w:after="0" w:line="240" w:lineRule="auto"/>
              <w:jc w:val="center"/>
              <w:rPr>
                <w:rFonts w:ascii="Times New Roman" w:eastAsia="Times New Roman" w:hAnsi="Times New Roman" w:cs="Times New Roman"/>
                <w:b/>
                <w:bCs/>
                <w:sz w:val="24"/>
                <w:szCs w:val="24"/>
                <w:lang w:eastAsia="en-IE"/>
              </w:rPr>
            </w:pPr>
            <w:r w:rsidRPr="0086038F">
              <w:rPr>
                <w:rFonts w:ascii="Times New Roman" w:eastAsia="Times New Roman" w:hAnsi="Times New Roman" w:cs="Times New Roman"/>
                <w:b/>
                <w:bCs/>
                <w:sz w:val="24"/>
                <w:szCs w:val="24"/>
                <w:lang w:eastAsia="en-IE"/>
              </w:rPr>
              <w:t>Comparison of Actual Labour* versus Estimated Labour Requirement</w:t>
            </w:r>
          </w:p>
        </w:tc>
      </w:tr>
      <w:tr w:rsidR="0086038F" w:rsidRPr="0086038F" w:rsidTr="0086038F">
        <w:trPr>
          <w:trHeight w:val="312"/>
        </w:trPr>
        <w:tc>
          <w:tcPr>
            <w:tcW w:w="9390" w:type="dxa"/>
            <w:gridSpan w:val="7"/>
            <w:tcBorders>
              <w:top w:val="nil"/>
              <w:left w:val="single" w:sz="8" w:space="0" w:color="auto"/>
              <w:bottom w:val="nil"/>
              <w:right w:val="single" w:sz="8" w:space="0" w:color="000000"/>
            </w:tcBorders>
            <w:shd w:val="clear" w:color="000000" w:fill="95B3D7"/>
            <w:noWrap/>
            <w:vAlign w:val="bottom"/>
            <w:hideMark/>
          </w:tcPr>
          <w:p w:rsidR="0086038F" w:rsidRPr="0086038F" w:rsidRDefault="0086038F" w:rsidP="0086038F">
            <w:pPr>
              <w:spacing w:after="0" w:line="240" w:lineRule="auto"/>
              <w:jc w:val="center"/>
              <w:rPr>
                <w:rFonts w:ascii="Times New Roman" w:eastAsia="Times New Roman" w:hAnsi="Times New Roman" w:cs="Times New Roman"/>
                <w:b/>
                <w:bCs/>
                <w:sz w:val="24"/>
                <w:szCs w:val="24"/>
                <w:lang w:eastAsia="en-IE"/>
              </w:rPr>
            </w:pPr>
            <w:r w:rsidRPr="0086038F">
              <w:rPr>
                <w:rFonts w:ascii="Times New Roman" w:eastAsia="Times New Roman" w:hAnsi="Times New Roman" w:cs="Times New Roman"/>
                <w:b/>
                <w:bCs/>
                <w:sz w:val="24"/>
                <w:szCs w:val="24"/>
                <w:lang w:eastAsia="en-IE"/>
              </w:rPr>
              <w:t xml:space="preserve"> (Standard Man Days**), 2012</w:t>
            </w:r>
          </w:p>
        </w:tc>
      </w:tr>
      <w:tr w:rsidR="0086038F" w:rsidRPr="0086038F" w:rsidTr="0086038F">
        <w:trPr>
          <w:trHeight w:val="540"/>
        </w:trPr>
        <w:tc>
          <w:tcPr>
            <w:tcW w:w="2898" w:type="dxa"/>
            <w:tcBorders>
              <w:top w:val="nil"/>
              <w:left w:val="single" w:sz="8" w:space="0" w:color="auto"/>
              <w:bottom w:val="single" w:sz="8" w:space="0" w:color="auto"/>
              <w:right w:val="single" w:sz="8" w:space="0" w:color="auto"/>
            </w:tcBorders>
            <w:shd w:val="clear" w:color="000000" w:fill="B8CCE4"/>
            <w:noWrap/>
            <w:vAlign w:val="bottom"/>
            <w:hideMark/>
          </w:tcPr>
          <w:p w:rsidR="0086038F" w:rsidRPr="0086038F" w:rsidRDefault="0086038F" w:rsidP="0086038F">
            <w:pPr>
              <w:spacing w:after="0" w:line="240" w:lineRule="auto"/>
              <w:jc w:val="center"/>
              <w:rPr>
                <w:rFonts w:ascii="Times New Roman" w:eastAsia="Times New Roman" w:hAnsi="Times New Roman" w:cs="Times New Roman"/>
                <w:b/>
                <w:bCs/>
                <w:sz w:val="24"/>
                <w:szCs w:val="24"/>
                <w:lang w:eastAsia="en-IE"/>
              </w:rPr>
            </w:pPr>
            <w:r w:rsidRPr="0086038F">
              <w:rPr>
                <w:rFonts w:ascii="Times New Roman" w:eastAsia="Times New Roman" w:hAnsi="Times New Roman" w:cs="Times New Roman"/>
                <w:b/>
                <w:bCs/>
                <w:sz w:val="24"/>
                <w:szCs w:val="24"/>
                <w:lang w:eastAsia="en-IE"/>
              </w:rPr>
              <w:t> </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Dairy</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Cattle Rearing</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Cattle Other</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Sheep</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Tillage</w:t>
            </w:r>
          </w:p>
        </w:tc>
        <w:tc>
          <w:tcPr>
            <w:tcW w:w="1082" w:type="dxa"/>
            <w:tcBorders>
              <w:top w:val="nil"/>
              <w:left w:val="nil"/>
              <w:bottom w:val="nil"/>
              <w:right w:val="single" w:sz="8" w:space="0" w:color="auto"/>
            </w:tcBorders>
            <w:shd w:val="clear" w:color="000000" w:fill="B8CCE4"/>
            <w:hideMark/>
          </w:tcPr>
          <w:p w:rsidR="0086038F" w:rsidRPr="0086038F" w:rsidRDefault="0086038F" w:rsidP="0086038F">
            <w:pPr>
              <w:spacing w:after="0" w:line="240" w:lineRule="auto"/>
              <w:jc w:val="center"/>
              <w:rPr>
                <w:rFonts w:ascii="Arial" w:eastAsia="Times New Roman" w:hAnsi="Arial" w:cs="Arial"/>
                <w:b/>
                <w:bCs/>
                <w:lang w:eastAsia="en-IE"/>
              </w:rPr>
            </w:pPr>
            <w:r w:rsidRPr="0086038F">
              <w:rPr>
                <w:rFonts w:ascii="Arial" w:eastAsia="Times New Roman" w:hAnsi="Arial" w:cs="Arial"/>
                <w:b/>
                <w:bCs/>
                <w:lang w:eastAsia="en-IE"/>
              </w:rPr>
              <w:t>All Systems</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single" w:sz="8" w:space="0" w:color="auto"/>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Full-time farms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1.61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1.39</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1.48</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1.37</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1.61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1.47</w:t>
            </w:r>
          </w:p>
        </w:tc>
      </w:tr>
      <w:tr w:rsidR="0086038F" w:rsidRPr="0086038F" w:rsidTr="0086038F">
        <w:trPr>
          <w:trHeight w:val="372"/>
        </w:trPr>
        <w:tc>
          <w:tcPr>
            <w:tcW w:w="2898" w:type="dxa"/>
            <w:tcBorders>
              <w:top w:val="nil"/>
              <w:left w:val="single" w:sz="8" w:space="0" w:color="auto"/>
              <w:bottom w:val="single" w:sz="8" w:space="0" w:color="auto"/>
              <w:right w:val="single" w:sz="8" w:space="0" w:color="auto"/>
            </w:tcBorders>
            <w:shd w:val="clear" w:color="auto" w:fill="auto"/>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SMD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2.14</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1.08</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1.42</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1.24</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1.80</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1.70</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000000" w:fill="CCC0D9"/>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as % SMD</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75%</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128%</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104%</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111%</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89%</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86%</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Part-time farms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1.15</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0.98</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0.79</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0.92</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SMD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0.62</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0.38</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0.39</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0.45</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0.41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0.38</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000000" w:fill="CCC0D9"/>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as % SMD</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187%</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256%</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258%</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226%</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191%</w:t>
            </w:r>
          </w:p>
        </w:tc>
        <w:tc>
          <w:tcPr>
            <w:tcW w:w="1082" w:type="dxa"/>
            <w:tcBorders>
              <w:top w:val="nil"/>
              <w:left w:val="nil"/>
              <w:bottom w:val="single" w:sz="8" w:space="0" w:color="auto"/>
              <w:right w:val="single" w:sz="8" w:space="0" w:color="auto"/>
            </w:tcBorders>
            <w:shd w:val="clear" w:color="000000" w:fill="CCC0D9"/>
            <w:noWrap/>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244%</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b/>
                <w:bCs/>
                <w:lang w:eastAsia="en-IE"/>
              </w:rPr>
            </w:pPr>
            <w:r w:rsidRPr="0086038F">
              <w:rPr>
                <w:rFonts w:ascii="Arial" w:eastAsia="Times New Roman" w:hAnsi="Arial" w:cs="Arial"/>
                <w:b/>
                <w:bCs/>
                <w:lang w:eastAsia="en-IE"/>
              </w:rPr>
              <w:t>All farms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1.59</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1.03</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1.14</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1.14</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1.21</w:t>
            </w:r>
          </w:p>
        </w:tc>
      </w:tr>
      <w:tr w:rsidR="0086038F" w:rsidRPr="0086038F" w:rsidTr="0086038F">
        <w:trPr>
          <w:trHeight w:val="324"/>
        </w:trPr>
        <w:tc>
          <w:tcPr>
            <w:tcW w:w="2898" w:type="dxa"/>
            <w:tcBorders>
              <w:top w:val="nil"/>
              <w:left w:val="single" w:sz="8" w:space="0" w:color="auto"/>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SMD labour units</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2.06</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0.47</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0.62</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0.73</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1.01</w:t>
            </w:r>
          </w:p>
        </w:tc>
        <w:tc>
          <w:tcPr>
            <w:tcW w:w="1082" w:type="dxa"/>
            <w:tcBorders>
              <w:top w:val="nil"/>
              <w:left w:val="nil"/>
              <w:bottom w:val="single" w:sz="8" w:space="0" w:color="auto"/>
              <w:right w:val="single" w:sz="8" w:space="0" w:color="auto"/>
            </w:tcBorders>
            <w:shd w:val="clear" w:color="auto" w:fill="auto"/>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0.80</w:t>
            </w:r>
          </w:p>
        </w:tc>
      </w:tr>
      <w:tr w:rsidR="0086038F" w:rsidRPr="0086038F" w:rsidTr="0086038F">
        <w:trPr>
          <w:trHeight w:val="675"/>
        </w:trPr>
        <w:tc>
          <w:tcPr>
            <w:tcW w:w="2898" w:type="dxa"/>
            <w:tcBorders>
              <w:top w:val="nil"/>
              <w:left w:val="single" w:sz="8" w:space="0" w:color="auto"/>
              <w:bottom w:val="single" w:sz="8" w:space="0" w:color="auto"/>
              <w:right w:val="single" w:sz="8" w:space="0" w:color="auto"/>
            </w:tcBorders>
            <w:shd w:val="clear" w:color="000000" w:fill="B2A1C7"/>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Total actual labour as % SMD</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77%</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220%</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180%</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157%</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113%</w:t>
            </w:r>
          </w:p>
        </w:tc>
        <w:tc>
          <w:tcPr>
            <w:tcW w:w="1082" w:type="dxa"/>
            <w:tcBorders>
              <w:top w:val="nil"/>
              <w:left w:val="nil"/>
              <w:bottom w:val="single" w:sz="8" w:space="0" w:color="auto"/>
              <w:right w:val="single" w:sz="8" w:space="0" w:color="auto"/>
            </w:tcBorders>
            <w:shd w:val="clear" w:color="000000" w:fill="B2A1C7"/>
            <w:noWrap/>
            <w:vAlign w:val="bottom"/>
            <w:hideMark/>
          </w:tcPr>
          <w:p w:rsidR="0086038F" w:rsidRPr="0086038F" w:rsidRDefault="0086038F" w:rsidP="0086038F">
            <w:pPr>
              <w:spacing w:after="0" w:line="240" w:lineRule="auto"/>
              <w:jc w:val="center"/>
              <w:rPr>
                <w:rFonts w:ascii="Arial" w:eastAsia="Times New Roman" w:hAnsi="Arial" w:cs="Arial"/>
                <w:lang w:eastAsia="en-IE"/>
              </w:rPr>
            </w:pPr>
            <w:r w:rsidRPr="0086038F">
              <w:rPr>
                <w:rFonts w:ascii="Arial" w:eastAsia="Times New Roman" w:hAnsi="Arial" w:cs="Arial"/>
                <w:lang w:eastAsia="en-IE"/>
              </w:rPr>
              <w:t>152%</w:t>
            </w:r>
          </w:p>
        </w:tc>
      </w:tr>
      <w:tr w:rsidR="0086038F" w:rsidRPr="0086038F" w:rsidTr="0086038F">
        <w:trPr>
          <w:trHeight w:val="324"/>
        </w:trPr>
        <w:tc>
          <w:tcPr>
            <w:tcW w:w="9390"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rsidR="0086038F" w:rsidRPr="0086038F" w:rsidRDefault="0086038F" w:rsidP="0086038F">
            <w:pPr>
              <w:spacing w:after="0" w:line="240" w:lineRule="auto"/>
              <w:rPr>
                <w:rFonts w:ascii="Arial" w:eastAsia="Times New Roman" w:hAnsi="Arial" w:cs="Arial"/>
                <w:lang w:eastAsia="en-IE"/>
              </w:rPr>
            </w:pPr>
            <w:r w:rsidRPr="0086038F">
              <w:rPr>
                <w:rFonts w:ascii="Arial" w:eastAsia="Times New Roman" w:hAnsi="Arial" w:cs="Arial"/>
                <w:lang w:eastAsia="en-IE"/>
              </w:rPr>
              <w:t> </w:t>
            </w:r>
          </w:p>
        </w:tc>
      </w:tr>
      <w:tr w:rsidR="0086038F" w:rsidRPr="0086038F" w:rsidTr="0086038F">
        <w:trPr>
          <w:trHeight w:val="312"/>
        </w:trPr>
        <w:tc>
          <w:tcPr>
            <w:tcW w:w="9390" w:type="dxa"/>
            <w:gridSpan w:val="7"/>
            <w:tcBorders>
              <w:top w:val="nil"/>
              <w:left w:val="single" w:sz="8" w:space="0" w:color="auto"/>
              <w:bottom w:val="nil"/>
              <w:right w:val="single" w:sz="8" w:space="0" w:color="000000"/>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color w:val="000000"/>
                <w:lang w:eastAsia="en-IE"/>
              </w:rPr>
            </w:pPr>
            <w:r w:rsidRPr="0086038F">
              <w:rPr>
                <w:rFonts w:ascii="Arial" w:eastAsia="Times New Roman" w:hAnsi="Arial" w:cs="Arial"/>
                <w:color w:val="000000"/>
                <w:lang w:eastAsia="en-IE"/>
              </w:rPr>
              <w:t>Source: Kinsella, A.   Moran, B,   (2014) Analysis using National Farm Survey 2012 data.</w:t>
            </w:r>
          </w:p>
        </w:tc>
      </w:tr>
      <w:tr w:rsidR="0086038F" w:rsidRPr="0086038F" w:rsidTr="0086038F">
        <w:trPr>
          <w:trHeight w:val="312"/>
        </w:trPr>
        <w:tc>
          <w:tcPr>
            <w:tcW w:w="9390" w:type="dxa"/>
            <w:gridSpan w:val="7"/>
            <w:tcBorders>
              <w:top w:val="nil"/>
              <w:left w:val="single" w:sz="8" w:space="0" w:color="auto"/>
              <w:bottom w:val="nil"/>
              <w:right w:val="single" w:sz="8" w:space="0" w:color="000000"/>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color w:val="000000"/>
                <w:lang w:eastAsia="en-IE"/>
              </w:rPr>
            </w:pPr>
            <w:r w:rsidRPr="0086038F">
              <w:rPr>
                <w:rFonts w:ascii="Arial" w:eastAsia="Times New Roman" w:hAnsi="Arial" w:cs="Arial"/>
                <w:color w:val="000000"/>
                <w:lang w:eastAsia="en-IE"/>
              </w:rPr>
              <w:t>*</w:t>
            </w:r>
            <w:r w:rsidRPr="0086038F">
              <w:rPr>
                <w:rFonts w:ascii="Arial" w:eastAsia="Times New Roman" w:hAnsi="Arial" w:cs="Arial"/>
                <w:color w:val="000000"/>
                <w:sz w:val="18"/>
                <w:szCs w:val="18"/>
                <w:lang w:eastAsia="en-IE"/>
              </w:rPr>
              <w:t>Actual labour unit is defined as 1,800 hours or more worked on a farm by a person over 18 years.</w:t>
            </w:r>
          </w:p>
        </w:tc>
      </w:tr>
      <w:tr w:rsidR="0086038F" w:rsidRPr="0086038F" w:rsidTr="0086038F">
        <w:trPr>
          <w:trHeight w:val="372"/>
        </w:trPr>
        <w:tc>
          <w:tcPr>
            <w:tcW w:w="9390" w:type="dxa"/>
            <w:gridSpan w:val="7"/>
            <w:tcBorders>
              <w:top w:val="nil"/>
              <w:left w:val="single" w:sz="8" w:space="0" w:color="auto"/>
              <w:bottom w:val="nil"/>
              <w:right w:val="single" w:sz="8" w:space="0" w:color="000000"/>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color w:val="000000"/>
                <w:lang w:eastAsia="en-IE"/>
              </w:rPr>
            </w:pPr>
            <w:r w:rsidRPr="0086038F">
              <w:rPr>
                <w:rFonts w:ascii="Arial" w:eastAsia="Times New Roman" w:hAnsi="Arial" w:cs="Arial"/>
                <w:color w:val="000000"/>
                <w:lang w:eastAsia="en-IE"/>
              </w:rPr>
              <w:t>**</w:t>
            </w:r>
            <w:r w:rsidRPr="0086038F">
              <w:rPr>
                <w:rFonts w:ascii="Arial" w:eastAsia="Times New Roman" w:hAnsi="Arial" w:cs="Arial"/>
                <w:color w:val="000000"/>
                <w:sz w:val="18"/>
                <w:szCs w:val="18"/>
                <w:lang w:eastAsia="en-IE"/>
              </w:rPr>
              <w:t xml:space="preserve">Standard Man Days (SMD) Labour Unit eight hours of work supplied by a person over 18 years of age.  The </w:t>
            </w:r>
          </w:p>
        </w:tc>
      </w:tr>
      <w:tr w:rsidR="0086038F" w:rsidRPr="0086038F" w:rsidTr="0086038F">
        <w:trPr>
          <w:trHeight w:val="312"/>
        </w:trPr>
        <w:tc>
          <w:tcPr>
            <w:tcW w:w="9390" w:type="dxa"/>
            <w:gridSpan w:val="7"/>
            <w:tcBorders>
              <w:top w:val="nil"/>
              <w:left w:val="single" w:sz="8" w:space="0" w:color="auto"/>
              <w:bottom w:val="nil"/>
              <w:right w:val="single" w:sz="8" w:space="0" w:color="000000"/>
            </w:tcBorders>
            <w:shd w:val="clear" w:color="auto" w:fill="auto"/>
            <w:noWrap/>
            <w:vAlign w:val="bottom"/>
            <w:hideMark/>
          </w:tcPr>
          <w:p w:rsidR="0086038F" w:rsidRPr="0086038F" w:rsidRDefault="0086038F" w:rsidP="0086038F">
            <w:pPr>
              <w:spacing w:after="0" w:line="240" w:lineRule="auto"/>
              <w:rPr>
                <w:rFonts w:ascii="Arial" w:eastAsia="Times New Roman" w:hAnsi="Arial" w:cs="Arial"/>
                <w:color w:val="000000"/>
                <w:lang w:eastAsia="en-IE"/>
              </w:rPr>
            </w:pPr>
            <w:r w:rsidRPr="0086038F">
              <w:rPr>
                <w:rFonts w:ascii="Arial" w:eastAsia="Times New Roman" w:hAnsi="Arial" w:cs="Arial"/>
                <w:color w:val="000000"/>
                <w:lang w:eastAsia="en-IE"/>
              </w:rPr>
              <w:t>number of SMD required per hectare for the different crops and per head for various categories of livestock</w:t>
            </w:r>
            <w:r w:rsidR="00F84BA9" w:rsidRPr="00F84BA9">
              <w:rPr>
                <w:rFonts w:ascii="Arial" w:eastAsia="Times New Roman" w:hAnsi="Arial" w:cs="Arial"/>
                <w:color w:val="000000"/>
                <w:lang w:eastAsia="en-IE"/>
              </w:rPr>
              <w:t xml:space="preserve"> is used to calculate the total number of SMDs required to operate the farm</w:t>
            </w:r>
            <w:r w:rsidRPr="0086038F">
              <w:rPr>
                <w:rFonts w:ascii="Arial" w:eastAsia="Times New Roman" w:hAnsi="Arial" w:cs="Arial"/>
                <w:color w:val="000000"/>
                <w:lang w:eastAsia="en-IE"/>
              </w:rPr>
              <w:t xml:space="preserve"> </w:t>
            </w:r>
          </w:p>
        </w:tc>
      </w:tr>
    </w:tbl>
    <w:p w:rsidR="0086038F" w:rsidRDefault="0086038F">
      <w:pPr>
        <w:rPr>
          <w:rFonts w:ascii="Times New Roman" w:hAnsi="Times New Roman" w:cs="Times New Roman"/>
        </w:rPr>
      </w:pPr>
    </w:p>
    <w:p w:rsidR="00AE7102" w:rsidRDefault="00AE7102">
      <w:pPr>
        <w:rPr>
          <w:rFonts w:ascii="Times New Roman" w:hAnsi="Times New Roman" w:cs="Times New Roman"/>
        </w:rPr>
      </w:pPr>
      <w:r>
        <w:rPr>
          <w:rFonts w:ascii="Times New Roman" w:hAnsi="Times New Roman" w:cs="Times New Roman"/>
        </w:rPr>
        <w:br w:type="page"/>
      </w:r>
      <w:bookmarkStart w:id="24" w:name="_GoBack"/>
      <w:bookmarkEnd w:id="24"/>
    </w:p>
    <w:p w:rsidR="00F82893" w:rsidRPr="004C2E9E" w:rsidRDefault="00652F85" w:rsidP="00BC3E9D">
      <w:pPr>
        <w:pStyle w:val="Heading1"/>
      </w:pPr>
      <w:r w:rsidRPr="004C2E9E">
        <w:lastRenderedPageBreak/>
        <w:t>SOURCES</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DAFM: Annual Review and Outlook for Agriculture, Food and the Marine 2013/14 and 2012/13</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DAFM: Food Harvest and Milestones reports</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Teagasc: National Farm Survey, various years</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Teagasc: Rural Development conference, September 2014, event proceedings</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DAFM/Teagasc: CAP analysis database 2010</w:t>
      </w:r>
    </w:p>
    <w:p w:rsidR="00652F85" w:rsidRPr="004C2E9E" w:rsidRDefault="00652F85" w:rsidP="009339E0">
      <w:pPr>
        <w:pStyle w:val="ListParagraph"/>
        <w:numPr>
          <w:ilvl w:val="0"/>
          <w:numId w:val="5"/>
        </w:numPr>
        <w:spacing w:after="0" w:line="360" w:lineRule="auto"/>
        <w:jc w:val="left"/>
        <w:rPr>
          <w:rFonts w:ascii="Times New Roman" w:hAnsi="Times New Roman" w:cs="Times New Roman"/>
          <w:sz w:val="24"/>
          <w:szCs w:val="24"/>
        </w:rPr>
      </w:pPr>
      <w:r w:rsidRPr="004C2E9E">
        <w:rPr>
          <w:rFonts w:ascii="Times New Roman" w:hAnsi="Times New Roman" w:cs="Times New Roman"/>
          <w:sz w:val="24"/>
          <w:szCs w:val="24"/>
        </w:rPr>
        <w:t>Agri</w:t>
      </w:r>
      <w:r w:rsidR="00D73B9A">
        <w:rPr>
          <w:rFonts w:ascii="Times New Roman" w:hAnsi="Times New Roman" w:cs="Times New Roman"/>
          <w:sz w:val="24"/>
          <w:szCs w:val="24"/>
        </w:rPr>
        <w:t>-t</w:t>
      </w:r>
      <w:r w:rsidRPr="004C2E9E">
        <w:rPr>
          <w:rFonts w:ascii="Times New Roman" w:hAnsi="Times New Roman" w:cs="Times New Roman"/>
          <w:sz w:val="24"/>
          <w:szCs w:val="24"/>
        </w:rPr>
        <w:t xml:space="preserve">ax review: </w:t>
      </w:r>
      <w:hyperlink r:id="rId23" w:history="1">
        <w:r w:rsidRPr="004C2E9E">
          <w:rPr>
            <w:rStyle w:val="Hyperlink"/>
            <w:rFonts w:ascii="Times New Roman" w:hAnsi="Times New Roman" w:cs="Times New Roman"/>
            <w:sz w:val="24"/>
            <w:szCs w:val="24"/>
          </w:rPr>
          <w:t>http://www.agriculture.gov.ie/agri-foodindustry/agri-taxationreview/</w:t>
        </w:r>
      </w:hyperlink>
    </w:p>
    <w:p w:rsidR="00F82893" w:rsidRDefault="00F82893" w:rsidP="004C2E9E">
      <w:pPr>
        <w:spacing w:after="0" w:line="360" w:lineRule="auto"/>
        <w:jc w:val="left"/>
        <w:rPr>
          <w:rFonts w:ascii="Times New Roman" w:hAnsi="Times New Roman" w:cs="Times New Roman"/>
          <w:sz w:val="24"/>
          <w:szCs w:val="24"/>
        </w:rPr>
      </w:pPr>
    </w:p>
    <w:p w:rsidR="00427DC2" w:rsidRDefault="00427DC2" w:rsidP="004C2E9E">
      <w:pPr>
        <w:spacing w:after="0" w:line="360" w:lineRule="auto"/>
        <w:jc w:val="left"/>
        <w:rPr>
          <w:rFonts w:ascii="Times New Roman" w:hAnsi="Times New Roman" w:cs="Times New Roman"/>
          <w:sz w:val="24"/>
          <w:szCs w:val="24"/>
        </w:rPr>
      </w:pPr>
    </w:p>
    <w:p w:rsidR="00427DC2" w:rsidRPr="004C2E9E" w:rsidRDefault="00427DC2" w:rsidP="00BC3E9D">
      <w:pPr>
        <w:pStyle w:val="Heading1"/>
        <w:rPr>
          <w:u w:val="none"/>
        </w:rPr>
      </w:pPr>
      <w:r>
        <w:t>ENDNOTES</w:t>
      </w:r>
    </w:p>
    <w:sectPr w:rsidR="00427DC2" w:rsidRPr="004C2E9E" w:rsidSect="00F548EA">
      <w:footerReference w:type="default" r:id="rId24"/>
      <w:pgSz w:w="11906" w:h="16838"/>
      <w:pgMar w:top="1440" w:right="1440" w:bottom="1440" w:left="1440" w:header="708" w:footer="708" w:gutter="0"/>
      <w:pgBorders w:offsetFrom="page">
        <w:top w:val="single" w:sz="4" w:space="24" w:color="1F4E79" w:themeColor="accent1" w:themeShade="80"/>
        <w:left w:val="single" w:sz="4" w:space="24" w:color="1F4E79" w:themeColor="accent1" w:themeShade="80"/>
        <w:bottom w:val="single" w:sz="4" w:space="24" w:color="1F4E79" w:themeColor="accent1" w:themeShade="80"/>
        <w:right w:val="single" w:sz="4" w:space="24" w:color="1F4E79" w:themeColor="accent1" w:themeShade="80"/>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2B5" w:rsidRDefault="009322B5" w:rsidP="00304366">
      <w:pPr>
        <w:spacing w:after="0" w:line="240" w:lineRule="auto"/>
      </w:pPr>
      <w:r>
        <w:separator/>
      </w:r>
    </w:p>
  </w:endnote>
  <w:endnote w:type="continuationSeparator" w:id="0">
    <w:p w:rsidR="009322B5" w:rsidRDefault="009322B5" w:rsidP="00304366">
      <w:pPr>
        <w:spacing w:after="0" w:line="240" w:lineRule="auto"/>
      </w:pPr>
      <w:r>
        <w:continuationSeparator/>
      </w:r>
    </w:p>
  </w:endnote>
  <w:endnote w:id="1">
    <w:p w:rsidR="009322B5" w:rsidRPr="009378BB" w:rsidRDefault="009322B5">
      <w:pPr>
        <w:pStyle w:val="EndnoteText"/>
        <w:rPr>
          <w:sz w:val="18"/>
          <w:szCs w:val="18"/>
        </w:rPr>
      </w:pPr>
      <w:r w:rsidRPr="009378BB">
        <w:rPr>
          <w:rStyle w:val="EndnoteReference"/>
          <w:sz w:val="18"/>
          <w:szCs w:val="18"/>
        </w:rPr>
        <w:endnoteRef/>
      </w:r>
      <w:r w:rsidRPr="009378BB">
        <w:rPr>
          <w:sz w:val="18"/>
          <w:szCs w:val="18"/>
        </w:rPr>
        <w:t xml:space="preserve"> Source: CSO Output, Input and Income; CSO Statbank; more detail in Appendix Table A.</w:t>
      </w:r>
    </w:p>
  </w:endnote>
  <w:endnote w:id="2">
    <w:p w:rsidR="009322B5" w:rsidRPr="006D6892" w:rsidRDefault="009322B5">
      <w:pPr>
        <w:pStyle w:val="EndnoteText"/>
        <w:rPr>
          <w:sz w:val="18"/>
          <w:szCs w:val="18"/>
        </w:rPr>
      </w:pPr>
      <w:r w:rsidRPr="006D6892">
        <w:rPr>
          <w:rStyle w:val="EndnoteReference"/>
          <w:sz w:val="18"/>
          <w:szCs w:val="18"/>
        </w:rPr>
        <w:endnoteRef/>
      </w:r>
      <w:r w:rsidRPr="006D6892">
        <w:rPr>
          <w:sz w:val="18"/>
          <w:szCs w:val="18"/>
        </w:rPr>
        <w:t xml:space="preserve"> http://www.teagasc.ie/nfs/reports.asp</w:t>
      </w:r>
    </w:p>
  </w:endnote>
  <w:endnote w:id="3">
    <w:p w:rsidR="009322B5" w:rsidRPr="00D73B9A" w:rsidRDefault="009322B5">
      <w:pPr>
        <w:pStyle w:val="EndnoteText"/>
        <w:rPr>
          <w:sz w:val="18"/>
          <w:szCs w:val="18"/>
        </w:rPr>
      </w:pPr>
      <w:r w:rsidRPr="00F84BA9">
        <w:rPr>
          <w:rStyle w:val="EndnoteReference"/>
          <w:sz w:val="18"/>
          <w:szCs w:val="18"/>
        </w:rPr>
        <w:endnoteRef/>
      </w:r>
      <w:r w:rsidRPr="00F84BA9">
        <w:rPr>
          <w:sz w:val="18"/>
          <w:szCs w:val="18"/>
        </w:rPr>
        <w:t xml:space="preserve"> Standard output (SO) is the average monetary value of the agricultural output at farm-gate price.</w:t>
      </w:r>
      <w:r w:rsidRPr="00D73B9A">
        <w:rPr>
          <w:sz w:val="18"/>
          <w:szCs w:val="18"/>
        </w:rPr>
        <w:t xml:space="preserve"> The SO excludes direct payments, VAT and taxes on products.</w:t>
      </w:r>
    </w:p>
  </w:endnote>
  <w:endnote w:id="4">
    <w:p w:rsidR="009322B5" w:rsidRPr="006D6892" w:rsidRDefault="009322B5" w:rsidP="0018204F">
      <w:pPr>
        <w:pStyle w:val="EndnoteText"/>
        <w:rPr>
          <w:sz w:val="18"/>
          <w:szCs w:val="18"/>
        </w:rPr>
      </w:pPr>
      <w:r w:rsidRPr="006D6892">
        <w:rPr>
          <w:rStyle w:val="EndnoteReference"/>
          <w:sz w:val="18"/>
          <w:szCs w:val="18"/>
        </w:rPr>
        <w:endnoteRef/>
      </w:r>
      <w:r w:rsidRPr="006D6892">
        <w:rPr>
          <w:sz w:val="18"/>
          <w:szCs w:val="18"/>
        </w:rPr>
        <w:t xml:space="preserve"> Family Farm Income per Farm (FFI) is calculated by deducting all farm costs (direct and overhead) from the value of farm gross output. Factors of production owned by the farmer, such as labour and land, are not included as costs. FFI therefore represents the financial reward to all members of the family, who work on the farm, for their labour, management and investment. It does not include income from non-farming sources and thus may not be equated to household income.</w:t>
      </w:r>
    </w:p>
  </w:endnote>
  <w:endnote w:id="5">
    <w:p w:rsidR="009322B5" w:rsidRPr="006D6892" w:rsidRDefault="009322B5" w:rsidP="0018204F">
      <w:pPr>
        <w:pStyle w:val="EndnoteText"/>
        <w:rPr>
          <w:sz w:val="18"/>
          <w:szCs w:val="18"/>
        </w:rPr>
      </w:pPr>
      <w:r w:rsidRPr="006D6892">
        <w:rPr>
          <w:rStyle w:val="EndnoteReference"/>
          <w:sz w:val="18"/>
          <w:szCs w:val="18"/>
        </w:rPr>
        <w:endnoteRef/>
      </w:r>
      <w:r w:rsidRPr="006D6892">
        <w:rPr>
          <w:sz w:val="18"/>
          <w:szCs w:val="18"/>
        </w:rPr>
        <w:t xml:space="preserve"> NFS methodology changed in 2011 to exclude any farm with standard output &lt; €8,000; previous surveys excluded only farms with standard output &lt;€4,000; so results before the 2011 survey are not directly comparable. </w:t>
      </w:r>
    </w:p>
  </w:endnote>
  <w:endnote w:id="6">
    <w:p w:rsidR="009322B5" w:rsidRPr="009378BB" w:rsidRDefault="009322B5" w:rsidP="00340D8E">
      <w:pPr>
        <w:pStyle w:val="EndnoteText"/>
        <w:rPr>
          <w:sz w:val="18"/>
          <w:szCs w:val="18"/>
        </w:rPr>
      </w:pPr>
      <w:r w:rsidRPr="009378BB">
        <w:rPr>
          <w:rStyle w:val="EndnoteReference"/>
          <w:sz w:val="18"/>
          <w:szCs w:val="18"/>
        </w:rPr>
        <w:endnoteRef/>
      </w:r>
      <w:r w:rsidRPr="009378BB">
        <w:rPr>
          <w:sz w:val="18"/>
          <w:szCs w:val="18"/>
        </w:rPr>
        <w:t xml:space="preserve">   In the NFS full-time and part-time farms are based on labour input, with farms requiring 0.75 of a standard labour input being defined as full-time and those requiring less as part-time.  </w:t>
      </w:r>
    </w:p>
  </w:endnote>
  <w:endnote w:id="7">
    <w:p w:rsidR="009322B5" w:rsidRPr="009378BB" w:rsidRDefault="009322B5">
      <w:pPr>
        <w:pStyle w:val="EndnoteText"/>
        <w:rPr>
          <w:sz w:val="18"/>
          <w:szCs w:val="18"/>
        </w:rPr>
      </w:pPr>
      <w:r w:rsidRPr="009378BB">
        <w:rPr>
          <w:rStyle w:val="EndnoteReference"/>
          <w:sz w:val="18"/>
          <w:szCs w:val="18"/>
        </w:rPr>
        <w:endnoteRef/>
      </w:r>
      <w:r w:rsidRPr="009378BB">
        <w:rPr>
          <w:sz w:val="18"/>
          <w:szCs w:val="18"/>
        </w:rPr>
        <w:t xml:space="preserve"> More detail on NFS results is presented in Appendix Table B</w:t>
      </w:r>
    </w:p>
  </w:endnote>
  <w:endnote w:id="8">
    <w:p w:rsidR="009322B5" w:rsidRPr="009378BB" w:rsidRDefault="009322B5" w:rsidP="00143AD2">
      <w:pPr>
        <w:pStyle w:val="EndnoteText"/>
        <w:rPr>
          <w:sz w:val="18"/>
          <w:szCs w:val="18"/>
        </w:rPr>
      </w:pPr>
      <w:r w:rsidRPr="009378BB">
        <w:rPr>
          <w:rStyle w:val="EndnoteReference"/>
          <w:sz w:val="18"/>
          <w:szCs w:val="18"/>
        </w:rPr>
        <w:endnoteRef/>
      </w:r>
      <w:r w:rsidRPr="009378BB">
        <w:rPr>
          <w:sz w:val="18"/>
          <w:szCs w:val="18"/>
        </w:rPr>
        <w:t xml:space="preserve"> F. Thorne, </w:t>
      </w:r>
      <w:hyperlink r:id="rId1" w:history="1">
        <w:r w:rsidRPr="009378BB">
          <w:rPr>
            <w:rStyle w:val="Hyperlink"/>
            <w:sz w:val="18"/>
            <w:szCs w:val="18"/>
          </w:rPr>
          <w:t>http://www.teagasc.ie/publications/2014/3305/Farm_Viability_Analysis.pdf</w:t>
        </w:r>
      </w:hyperlink>
    </w:p>
  </w:endnote>
  <w:endnote w:id="9">
    <w:p w:rsidR="009322B5" w:rsidRPr="009378BB" w:rsidRDefault="009322B5">
      <w:pPr>
        <w:pStyle w:val="EndnoteText"/>
        <w:rPr>
          <w:sz w:val="18"/>
          <w:szCs w:val="18"/>
        </w:rPr>
      </w:pPr>
      <w:r w:rsidRPr="009378BB">
        <w:rPr>
          <w:rStyle w:val="EndnoteReference"/>
          <w:sz w:val="18"/>
          <w:szCs w:val="18"/>
        </w:rPr>
        <w:endnoteRef/>
      </w:r>
      <w:r w:rsidRPr="009378BB">
        <w:rPr>
          <w:sz w:val="18"/>
          <w:szCs w:val="18"/>
        </w:rPr>
        <w:t xml:space="preserve"> Both a herd number and a date of birth, based on the individual’s PPSN, are recorded on the CCS. However any young farmers operating in a partnership with a parent or who are in a husband/wife partnership are excluded from this analysis.</w:t>
      </w:r>
    </w:p>
  </w:endnote>
  <w:endnote w:id="10">
    <w:p w:rsidR="009322B5" w:rsidRPr="006D6892" w:rsidRDefault="009322B5" w:rsidP="00C73075">
      <w:pPr>
        <w:autoSpaceDE w:val="0"/>
        <w:autoSpaceDN w:val="0"/>
        <w:adjustRightInd w:val="0"/>
        <w:rPr>
          <w:sz w:val="18"/>
          <w:szCs w:val="18"/>
        </w:rPr>
      </w:pPr>
      <w:r w:rsidRPr="009378BB">
        <w:rPr>
          <w:rStyle w:val="EndnoteReference"/>
          <w:sz w:val="18"/>
          <w:szCs w:val="18"/>
        </w:rPr>
        <w:endnoteRef/>
      </w:r>
      <w:r w:rsidRPr="009378BB">
        <w:rPr>
          <w:sz w:val="18"/>
          <w:szCs w:val="18"/>
        </w:rPr>
        <w:t xml:space="preserve"> Irish Farmers Journal, </w:t>
      </w:r>
      <w:r w:rsidRPr="006D6892">
        <w:rPr>
          <w:sz w:val="18"/>
          <w:szCs w:val="18"/>
          <w:lang w:eastAsia="en-IE"/>
        </w:rPr>
        <w:t>Agricultural Land Price Report 2013</w:t>
      </w:r>
    </w:p>
    <w:p w:rsidR="009322B5" w:rsidRDefault="009322B5">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B5" w:rsidRDefault="009322B5">
    <w:pPr>
      <w:pStyle w:val="Footer"/>
      <w:jc w:val="center"/>
    </w:pPr>
  </w:p>
  <w:p w:rsidR="009322B5" w:rsidRDefault="009322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4085723"/>
      <w:docPartObj>
        <w:docPartGallery w:val="Page Numbers (Bottom of Page)"/>
        <w:docPartUnique/>
      </w:docPartObj>
    </w:sdtPr>
    <w:sdtEndPr>
      <w:rPr>
        <w:noProof/>
      </w:rPr>
    </w:sdtEndPr>
    <w:sdtContent>
      <w:p w:rsidR="009322B5" w:rsidRDefault="00627FE4">
        <w:pPr>
          <w:pStyle w:val="Footer"/>
          <w:jc w:val="center"/>
        </w:pPr>
        <w:r>
          <w:fldChar w:fldCharType="begin"/>
        </w:r>
        <w:r w:rsidR="009322B5">
          <w:instrText xml:space="preserve"> PAGE   \* MERGEFORMAT </w:instrText>
        </w:r>
        <w:r>
          <w:fldChar w:fldCharType="separate"/>
        </w:r>
        <w:r w:rsidR="00BF481D">
          <w:rPr>
            <w:noProof/>
          </w:rPr>
          <w:t>2</w:t>
        </w:r>
        <w:r>
          <w:rPr>
            <w:noProof/>
          </w:rPr>
          <w:fldChar w:fldCharType="end"/>
        </w:r>
      </w:p>
    </w:sdtContent>
  </w:sdt>
  <w:p w:rsidR="009322B5" w:rsidRDefault="009322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2B5" w:rsidRDefault="009322B5" w:rsidP="00304366">
      <w:pPr>
        <w:spacing w:after="0" w:line="240" w:lineRule="auto"/>
      </w:pPr>
      <w:r>
        <w:separator/>
      </w:r>
    </w:p>
  </w:footnote>
  <w:footnote w:type="continuationSeparator" w:id="0">
    <w:p w:rsidR="009322B5" w:rsidRDefault="009322B5" w:rsidP="003043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F1DA5"/>
    <w:multiLevelType w:val="hybridMultilevel"/>
    <w:tmpl w:val="D2B01FF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1104070F"/>
    <w:multiLevelType w:val="hybridMultilevel"/>
    <w:tmpl w:val="153E2D5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AC82AC0"/>
    <w:multiLevelType w:val="hybridMultilevel"/>
    <w:tmpl w:val="8E46BBCA"/>
    <w:lvl w:ilvl="0" w:tplc="D05251D8">
      <w:start w:val="1"/>
      <w:numFmt w:val="decimal"/>
      <w:pStyle w:val="Heading3"/>
      <w:lvlText w:val="Figure %1 "/>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49C3D8F"/>
    <w:multiLevelType w:val="hybridMultilevel"/>
    <w:tmpl w:val="D1E6FF4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nsid w:val="26E00F07"/>
    <w:multiLevelType w:val="hybridMultilevel"/>
    <w:tmpl w:val="6518A70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30333F2B"/>
    <w:multiLevelType w:val="hybridMultilevel"/>
    <w:tmpl w:val="178A84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318A3831"/>
    <w:multiLevelType w:val="hybridMultilevel"/>
    <w:tmpl w:val="00E8423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33AE562D"/>
    <w:multiLevelType w:val="hybridMultilevel"/>
    <w:tmpl w:val="893AF65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A8B17DD"/>
    <w:multiLevelType w:val="hybridMultilevel"/>
    <w:tmpl w:val="E8EE850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43BD70C1"/>
    <w:multiLevelType w:val="hybridMultilevel"/>
    <w:tmpl w:val="B2C853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E42733C"/>
    <w:multiLevelType w:val="hybridMultilevel"/>
    <w:tmpl w:val="503453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56357CD9"/>
    <w:multiLevelType w:val="hybridMultilevel"/>
    <w:tmpl w:val="C13C91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6FC3865"/>
    <w:multiLevelType w:val="hybridMultilevel"/>
    <w:tmpl w:val="88E08466"/>
    <w:lvl w:ilvl="0" w:tplc="CF1019CE">
      <w:start w:val="1"/>
      <w:numFmt w:val="upperLetter"/>
      <w:pStyle w:val="Heading4"/>
      <w:lvlText w:val="Table %1 "/>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583C2D44"/>
    <w:multiLevelType w:val="hybridMultilevel"/>
    <w:tmpl w:val="7E0AD51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63F443BE"/>
    <w:multiLevelType w:val="hybridMultilevel"/>
    <w:tmpl w:val="27902C9C"/>
    <w:lvl w:ilvl="0" w:tplc="C7187258">
      <w:start w:val="1"/>
      <w:numFmt w:val="decimal"/>
      <w:pStyle w:val="Heading2"/>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642B1A81"/>
    <w:multiLevelType w:val="hybridMultilevel"/>
    <w:tmpl w:val="FAE4BA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663C675D"/>
    <w:multiLevelType w:val="hybridMultilevel"/>
    <w:tmpl w:val="3B6CE9D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74426311"/>
    <w:multiLevelType w:val="hybridMultilevel"/>
    <w:tmpl w:val="8ED4F44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1"/>
  </w:num>
  <w:num w:numId="4">
    <w:abstractNumId w:val="7"/>
  </w:num>
  <w:num w:numId="5">
    <w:abstractNumId w:val="16"/>
  </w:num>
  <w:num w:numId="6">
    <w:abstractNumId w:val="2"/>
  </w:num>
  <w:num w:numId="7">
    <w:abstractNumId w:val="12"/>
  </w:num>
  <w:num w:numId="8">
    <w:abstractNumId w:val="9"/>
  </w:num>
  <w:num w:numId="9">
    <w:abstractNumId w:val="3"/>
  </w:num>
  <w:num w:numId="10">
    <w:abstractNumId w:val="8"/>
  </w:num>
  <w:num w:numId="11">
    <w:abstractNumId w:val="13"/>
  </w:num>
  <w:num w:numId="12">
    <w:abstractNumId w:val="5"/>
  </w:num>
  <w:num w:numId="13">
    <w:abstractNumId w:val="10"/>
  </w:num>
  <w:num w:numId="14">
    <w:abstractNumId w:val="0"/>
  </w:num>
  <w:num w:numId="15">
    <w:abstractNumId w:val="4"/>
  </w:num>
  <w:num w:numId="16">
    <w:abstractNumId w:val="17"/>
  </w:num>
  <w:num w:numId="17">
    <w:abstractNumId w:val="6"/>
  </w:num>
  <w:num w:numId="18">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proofState w:spelling="clean" w:grammar="clean"/>
  <w:defaultTabStop w:val="720"/>
  <w:characterSpacingControl w:val="doNotCompress"/>
  <w:footnotePr>
    <w:footnote w:id="-1"/>
    <w:footnote w:id="0"/>
  </w:footnotePr>
  <w:endnotePr>
    <w:endnote w:id="-1"/>
    <w:endnote w:id="0"/>
  </w:endnotePr>
  <w:compat>
    <w:useFELayout/>
  </w:compat>
  <w:rsids>
    <w:rsidRoot w:val="00304366"/>
    <w:rsid w:val="00062810"/>
    <w:rsid w:val="000B6EC7"/>
    <w:rsid w:val="001400BB"/>
    <w:rsid w:val="00143AD2"/>
    <w:rsid w:val="00162DAD"/>
    <w:rsid w:val="00172896"/>
    <w:rsid w:val="0018204F"/>
    <w:rsid w:val="001B5B17"/>
    <w:rsid w:val="001C01EA"/>
    <w:rsid w:val="001E5CA1"/>
    <w:rsid w:val="00242D9C"/>
    <w:rsid w:val="00255901"/>
    <w:rsid w:val="002A5CF5"/>
    <w:rsid w:val="002F3605"/>
    <w:rsid w:val="00304366"/>
    <w:rsid w:val="00330D43"/>
    <w:rsid w:val="00333774"/>
    <w:rsid w:val="00340D8E"/>
    <w:rsid w:val="00387AB2"/>
    <w:rsid w:val="003E1420"/>
    <w:rsid w:val="003E75DA"/>
    <w:rsid w:val="004061C3"/>
    <w:rsid w:val="0041250C"/>
    <w:rsid w:val="004241B5"/>
    <w:rsid w:val="00427A79"/>
    <w:rsid w:val="00427DC2"/>
    <w:rsid w:val="004620F9"/>
    <w:rsid w:val="004B1C0B"/>
    <w:rsid w:val="004C2E9E"/>
    <w:rsid w:val="00503CDA"/>
    <w:rsid w:val="00512978"/>
    <w:rsid w:val="005336F2"/>
    <w:rsid w:val="0054670C"/>
    <w:rsid w:val="00547E3E"/>
    <w:rsid w:val="00581AE0"/>
    <w:rsid w:val="0060546F"/>
    <w:rsid w:val="00627FE4"/>
    <w:rsid w:val="00652F85"/>
    <w:rsid w:val="006D258C"/>
    <w:rsid w:val="006D6892"/>
    <w:rsid w:val="006E72C0"/>
    <w:rsid w:val="0075050E"/>
    <w:rsid w:val="00772788"/>
    <w:rsid w:val="00783251"/>
    <w:rsid w:val="00783A69"/>
    <w:rsid w:val="007A528F"/>
    <w:rsid w:val="007C7ED3"/>
    <w:rsid w:val="0083147E"/>
    <w:rsid w:val="0086038F"/>
    <w:rsid w:val="008825F0"/>
    <w:rsid w:val="008E0B31"/>
    <w:rsid w:val="009322B5"/>
    <w:rsid w:val="009339E0"/>
    <w:rsid w:val="009378BB"/>
    <w:rsid w:val="00974C5F"/>
    <w:rsid w:val="00AD603E"/>
    <w:rsid w:val="00AE7102"/>
    <w:rsid w:val="00B00985"/>
    <w:rsid w:val="00B53659"/>
    <w:rsid w:val="00B579FC"/>
    <w:rsid w:val="00BA0BCC"/>
    <w:rsid w:val="00BB35ED"/>
    <w:rsid w:val="00BB6C36"/>
    <w:rsid w:val="00BC3E9D"/>
    <w:rsid w:val="00BD538A"/>
    <w:rsid w:val="00BF19A4"/>
    <w:rsid w:val="00BF481D"/>
    <w:rsid w:val="00C73075"/>
    <w:rsid w:val="00CB03A2"/>
    <w:rsid w:val="00D27F93"/>
    <w:rsid w:val="00D37CDC"/>
    <w:rsid w:val="00D73B9A"/>
    <w:rsid w:val="00DF7202"/>
    <w:rsid w:val="00E019BD"/>
    <w:rsid w:val="00E26316"/>
    <w:rsid w:val="00E3523A"/>
    <w:rsid w:val="00E66229"/>
    <w:rsid w:val="00E710FE"/>
    <w:rsid w:val="00EB2FD9"/>
    <w:rsid w:val="00EB4A2C"/>
    <w:rsid w:val="00EF0E20"/>
    <w:rsid w:val="00F44999"/>
    <w:rsid w:val="00F548EA"/>
    <w:rsid w:val="00F82893"/>
    <w:rsid w:val="00F84BA9"/>
    <w:rsid w:val="00FC4844"/>
    <w:rsid w:val="00FC736B"/>
    <w:rsid w:val="00FF0C7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I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C5F"/>
  </w:style>
  <w:style w:type="paragraph" w:styleId="Heading1">
    <w:name w:val="heading 1"/>
    <w:basedOn w:val="Normal"/>
    <w:next w:val="Normal"/>
    <w:link w:val="Heading1Char"/>
    <w:autoRedefine/>
    <w:uiPriority w:val="9"/>
    <w:qFormat/>
    <w:rsid w:val="00BC3E9D"/>
    <w:pPr>
      <w:spacing w:after="0" w:line="360" w:lineRule="auto"/>
      <w:jc w:val="center"/>
      <w:outlineLvl w:val="0"/>
    </w:pPr>
    <w:rPr>
      <w:rFonts w:ascii="Times New Roman" w:hAnsi="Times New Roman"/>
      <w:b/>
      <w:smallCaps/>
      <w:color w:val="1F4E79" w:themeColor="accent1" w:themeShade="80"/>
      <w:spacing w:val="5"/>
      <w:sz w:val="32"/>
      <w:szCs w:val="32"/>
      <w:u w:val="double" w:color="222A35" w:themeColor="text2" w:themeShade="80"/>
    </w:rPr>
  </w:style>
  <w:style w:type="paragraph" w:styleId="Heading2">
    <w:name w:val="heading 2"/>
    <w:basedOn w:val="Heading1"/>
    <w:next w:val="Normal"/>
    <w:link w:val="Heading2Char"/>
    <w:autoRedefine/>
    <w:uiPriority w:val="9"/>
    <w:unhideWhenUsed/>
    <w:qFormat/>
    <w:rsid w:val="009339E0"/>
    <w:pPr>
      <w:numPr>
        <w:numId w:val="18"/>
      </w:numPr>
      <w:jc w:val="both"/>
      <w:outlineLvl w:val="1"/>
    </w:pPr>
    <w:rPr>
      <w:caps/>
      <w:smallCaps w:val="0"/>
      <w:sz w:val="28"/>
      <w:szCs w:val="28"/>
      <w:u w:val="none"/>
    </w:rPr>
  </w:style>
  <w:style w:type="paragraph" w:styleId="Heading3">
    <w:name w:val="heading 3"/>
    <w:basedOn w:val="Normal"/>
    <w:next w:val="Normal"/>
    <w:link w:val="Heading3Char"/>
    <w:uiPriority w:val="9"/>
    <w:unhideWhenUsed/>
    <w:qFormat/>
    <w:rsid w:val="00974C5F"/>
    <w:pPr>
      <w:numPr>
        <w:numId w:val="6"/>
      </w:numPr>
      <w:spacing w:after="0"/>
      <w:jc w:val="left"/>
      <w:outlineLvl w:val="2"/>
    </w:pPr>
    <w:rPr>
      <w:rFonts w:ascii="Times New Roman" w:hAnsi="Times New Roman"/>
      <w:b/>
      <w:i/>
      <w:color w:val="2E74B5" w:themeColor="accent1" w:themeShade="BF"/>
      <w:spacing w:val="5"/>
      <w:sz w:val="24"/>
      <w:szCs w:val="24"/>
    </w:rPr>
  </w:style>
  <w:style w:type="paragraph" w:styleId="Heading4">
    <w:name w:val="heading 4"/>
    <w:basedOn w:val="Heading3"/>
    <w:next w:val="Normal"/>
    <w:link w:val="Heading4Char"/>
    <w:autoRedefine/>
    <w:uiPriority w:val="9"/>
    <w:unhideWhenUsed/>
    <w:qFormat/>
    <w:rsid w:val="0054670C"/>
    <w:pPr>
      <w:numPr>
        <w:numId w:val="7"/>
      </w:numPr>
      <w:spacing w:before="240"/>
      <w:ind w:left="360"/>
      <w:outlineLvl w:val="3"/>
    </w:pPr>
    <w:rPr>
      <w:b w:val="0"/>
      <w:i w:val="0"/>
      <w:smallCaps/>
      <w:color w:val="1F4E79" w:themeColor="accent1" w:themeShade="80"/>
      <w:spacing w:val="10"/>
      <w:sz w:val="22"/>
      <w:szCs w:val="22"/>
    </w:rPr>
  </w:style>
  <w:style w:type="paragraph" w:styleId="Heading5">
    <w:name w:val="heading 5"/>
    <w:basedOn w:val="Normal"/>
    <w:next w:val="Normal"/>
    <w:link w:val="Heading5Char"/>
    <w:uiPriority w:val="9"/>
    <w:semiHidden/>
    <w:unhideWhenUsed/>
    <w:qFormat/>
    <w:rsid w:val="00974C5F"/>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974C5F"/>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974C5F"/>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974C5F"/>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974C5F"/>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3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366"/>
  </w:style>
  <w:style w:type="paragraph" w:styleId="Footer">
    <w:name w:val="footer"/>
    <w:basedOn w:val="Normal"/>
    <w:link w:val="FooterChar"/>
    <w:uiPriority w:val="99"/>
    <w:unhideWhenUsed/>
    <w:rsid w:val="003043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366"/>
  </w:style>
  <w:style w:type="paragraph" w:styleId="FootnoteText">
    <w:name w:val="footnote text"/>
    <w:aliases w:val="Footnote,ft,Footnote Text Char Char Char Char Char Char Char Char Char Char,Fußnote,Geneva 9,Font: Geneva 9,Boston 10,f,Footnote Text Char Char,Footnote Text Char Char Char Char Char Char Char Char Char Char Char Char,Footnote Text2,ft2"/>
    <w:basedOn w:val="Normal"/>
    <w:link w:val="FootnoteTextChar"/>
    <w:uiPriority w:val="99"/>
    <w:unhideWhenUsed/>
    <w:rsid w:val="00DF7202"/>
    <w:pPr>
      <w:spacing w:after="0" w:line="240" w:lineRule="auto"/>
    </w:pPr>
  </w:style>
  <w:style w:type="character" w:customStyle="1" w:styleId="FootnoteTextChar">
    <w:name w:val="Footnote Text Char"/>
    <w:aliases w:val="Footnote Char,ft Char,Footnote Text Char Char Char Char Char Char Char Char Char Char Char,Fußnote Char,Geneva 9 Char,Font: Geneva 9 Char,Boston 10 Char,f Char,Footnote Text Char Char Char,Footnote Text2 Char,ft2 Char"/>
    <w:basedOn w:val="DefaultParagraphFont"/>
    <w:link w:val="FootnoteText"/>
    <w:uiPriority w:val="99"/>
    <w:rsid w:val="00DF7202"/>
    <w:rPr>
      <w:sz w:val="20"/>
      <w:szCs w:val="20"/>
    </w:rPr>
  </w:style>
  <w:style w:type="character" w:styleId="FootnoteReference">
    <w:name w:val="footnote reference"/>
    <w:aliases w:val="ftref"/>
    <w:basedOn w:val="DefaultParagraphFont"/>
    <w:uiPriority w:val="99"/>
    <w:unhideWhenUsed/>
    <w:rsid w:val="00DF7202"/>
    <w:rPr>
      <w:vertAlign w:val="superscript"/>
    </w:rPr>
  </w:style>
  <w:style w:type="paragraph" w:styleId="ListParagraph">
    <w:name w:val="List Paragraph"/>
    <w:basedOn w:val="Normal"/>
    <w:uiPriority w:val="34"/>
    <w:qFormat/>
    <w:rsid w:val="00974C5F"/>
    <w:pPr>
      <w:ind w:left="720"/>
      <w:contextualSpacing/>
    </w:pPr>
  </w:style>
  <w:style w:type="paragraph" w:styleId="BalloonText">
    <w:name w:val="Balloon Text"/>
    <w:basedOn w:val="Normal"/>
    <w:link w:val="BalloonTextChar"/>
    <w:uiPriority w:val="99"/>
    <w:semiHidden/>
    <w:unhideWhenUsed/>
    <w:rsid w:val="00F449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999"/>
    <w:rPr>
      <w:rFonts w:ascii="Tahoma" w:hAnsi="Tahoma" w:cs="Tahoma"/>
      <w:sz w:val="16"/>
      <w:szCs w:val="16"/>
    </w:rPr>
  </w:style>
  <w:style w:type="character" w:styleId="Hyperlink">
    <w:name w:val="Hyperlink"/>
    <w:basedOn w:val="DefaultParagraphFont"/>
    <w:uiPriority w:val="99"/>
    <w:unhideWhenUsed/>
    <w:rsid w:val="00E26316"/>
    <w:rPr>
      <w:color w:val="0563C1" w:themeColor="hyperlink"/>
      <w:u w:val="single"/>
    </w:rPr>
  </w:style>
  <w:style w:type="paragraph" w:styleId="BodyText2">
    <w:name w:val="Body Text 2"/>
    <w:basedOn w:val="Normal"/>
    <w:link w:val="BodyText2Char"/>
    <w:uiPriority w:val="99"/>
    <w:semiHidden/>
    <w:unhideWhenUsed/>
    <w:rsid w:val="0086038F"/>
    <w:pPr>
      <w:spacing w:after="120" w:line="480" w:lineRule="auto"/>
    </w:pPr>
  </w:style>
  <w:style w:type="character" w:customStyle="1" w:styleId="BodyText2Char">
    <w:name w:val="Body Text 2 Char"/>
    <w:basedOn w:val="DefaultParagraphFont"/>
    <w:link w:val="BodyText2"/>
    <w:uiPriority w:val="99"/>
    <w:semiHidden/>
    <w:rsid w:val="0086038F"/>
  </w:style>
  <w:style w:type="character" w:customStyle="1" w:styleId="Heading1Char">
    <w:name w:val="Heading 1 Char"/>
    <w:basedOn w:val="DefaultParagraphFont"/>
    <w:link w:val="Heading1"/>
    <w:uiPriority w:val="9"/>
    <w:rsid w:val="00BC3E9D"/>
    <w:rPr>
      <w:rFonts w:ascii="Times New Roman" w:hAnsi="Times New Roman"/>
      <w:b/>
      <w:smallCaps/>
      <w:color w:val="1F4E79" w:themeColor="accent1" w:themeShade="80"/>
      <w:spacing w:val="5"/>
      <w:sz w:val="32"/>
      <w:szCs w:val="32"/>
      <w:u w:val="double" w:color="222A35" w:themeColor="text2" w:themeShade="80"/>
    </w:rPr>
  </w:style>
  <w:style w:type="character" w:customStyle="1" w:styleId="Heading2Char">
    <w:name w:val="Heading 2 Char"/>
    <w:basedOn w:val="DefaultParagraphFont"/>
    <w:link w:val="Heading2"/>
    <w:uiPriority w:val="9"/>
    <w:rsid w:val="009339E0"/>
    <w:rPr>
      <w:rFonts w:ascii="Times New Roman" w:hAnsi="Times New Roman"/>
      <w:b/>
      <w:caps/>
      <w:color w:val="1F4E79" w:themeColor="accent1" w:themeShade="80"/>
      <w:spacing w:val="5"/>
      <w:sz w:val="28"/>
      <w:szCs w:val="28"/>
      <w:u w:color="222A35" w:themeColor="text2" w:themeShade="80"/>
    </w:rPr>
  </w:style>
  <w:style w:type="character" w:customStyle="1" w:styleId="Heading3Char">
    <w:name w:val="Heading 3 Char"/>
    <w:basedOn w:val="DefaultParagraphFont"/>
    <w:link w:val="Heading3"/>
    <w:uiPriority w:val="9"/>
    <w:rsid w:val="00974C5F"/>
    <w:rPr>
      <w:rFonts w:ascii="Times New Roman" w:hAnsi="Times New Roman"/>
      <w:b/>
      <w:i/>
      <w:color w:val="2E74B5" w:themeColor="accent1" w:themeShade="BF"/>
      <w:spacing w:val="5"/>
      <w:sz w:val="24"/>
      <w:szCs w:val="24"/>
    </w:rPr>
  </w:style>
  <w:style w:type="character" w:customStyle="1" w:styleId="Heading4Char">
    <w:name w:val="Heading 4 Char"/>
    <w:basedOn w:val="DefaultParagraphFont"/>
    <w:link w:val="Heading4"/>
    <w:uiPriority w:val="9"/>
    <w:rsid w:val="0054670C"/>
    <w:rPr>
      <w:rFonts w:ascii="Times New Roman" w:hAnsi="Times New Roman"/>
      <w:smallCaps/>
      <w:color w:val="1F4E79" w:themeColor="accent1" w:themeShade="80"/>
      <w:spacing w:val="10"/>
      <w:sz w:val="22"/>
      <w:szCs w:val="22"/>
    </w:rPr>
  </w:style>
  <w:style w:type="character" w:customStyle="1" w:styleId="Heading5Char">
    <w:name w:val="Heading 5 Char"/>
    <w:basedOn w:val="DefaultParagraphFont"/>
    <w:link w:val="Heading5"/>
    <w:uiPriority w:val="9"/>
    <w:semiHidden/>
    <w:rsid w:val="00974C5F"/>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974C5F"/>
    <w:rPr>
      <w:smallCaps/>
      <w:color w:val="ED7D31" w:themeColor="accent2"/>
      <w:spacing w:val="5"/>
      <w:sz w:val="22"/>
    </w:rPr>
  </w:style>
  <w:style w:type="character" w:customStyle="1" w:styleId="Heading7Char">
    <w:name w:val="Heading 7 Char"/>
    <w:basedOn w:val="DefaultParagraphFont"/>
    <w:link w:val="Heading7"/>
    <w:uiPriority w:val="9"/>
    <w:semiHidden/>
    <w:rsid w:val="00974C5F"/>
    <w:rPr>
      <w:b/>
      <w:smallCaps/>
      <w:color w:val="ED7D31" w:themeColor="accent2"/>
      <w:spacing w:val="10"/>
    </w:rPr>
  </w:style>
  <w:style w:type="character" w:customStyle="1" w:styleId="Heading8Char">
    <w:name w:val="Heading 8 Char"/>
    <w:basedOn w:val="DefaultParagraphFont"/>
    <w:link w:val="Heading8"/>
    <w:uiPriority w:val="9"/>
    <w:semiHidden/>
    <w:rsid w:val="00974C5F"/>
    <w:rPr>
      <w:b/>
      <w:i/>
      <w:smallCaps/>
      <w:color w:val="C45911" w:themeColor="accent2" w:themeShade="BF"/>
    </w:rPr>
  </w:style>
  <w:style w:type="character" w:customStyle="1" w:styleId="Heading9Char">
    <w:name w:val="Heading 9 Char"/>
    <w:basedOn w:val="DefaultParagraphFont"/>
    <w:link w:val="Heading9"/>
    <w:uiPriority w:val="9"/>
    <w:semiHidden/>
    <w:rsid w:val="00974C5F"/>
    <w:rPr>
      <w:b/>
      <w:i/>
      <w:smallCaps/>
      <w:color w:val="823B0B" w:themeColor="accent2" w:themeShade="7F"/>
    </w:rPr>
  </w:style>
  <w:style w:type="paragraph" w:styleId="Caption">
    <w:name w:val="caption"/>
    <w:basedOn w:val="Normal"/>
    <w:next w:val="Normal"/>
    <w:uiPriority w:val="35"/>
    <w:semiHidden/>
    <w:unhideWhenUsed/>
    <w:qFormat/>
    <w:rsid w:val="00974C5F"/>
    <w:rPr>
      <w:b/>
      <w:bCs/>
      <w:caps/>
      <w:sz w:val="16"/>
      <w:szCs w:val="18"/>
    </w:rPr>
  </w:style>
  <w:style w:type="paragraph" w:styleId="Title">
    <w:name w:val="Title"/>
    <w:basedOn w:val="Normal"/>
    <w:next w:val="Normal"/>
    <w:link w:val="TitleChar"/>
    <w:uiPriority w:val="10"/>
    <w:qFormat/>
    <w:rsid w:val="00974C5F"/>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74C5F"/>
    <w:rPr>
      <w:smallCaps/>
      <w:sz w:val="48"/>
      <w:szCs w:val="48"/>
    </w:rPr>
  </w:style>
  <w:style w:type="paragraph" w:styleId="Subtitle">
    <w:name w:val="Subtitle"/>
    <w:basedOn w:val="Normal"/>
    <w:next w:val="Normal"/>
    <w:link w:val="SubtitleChar"/>
    <w:uiPriority w:val="11"/>
    <w:qFormat/>
    <w:rsid w:val="00974C5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74C5F"/>
    <w:rPr>
      <w:rFonts w:asciiTheme="majorHAnsi" w:eastAsiaTheme="majorEastAsia" w:hAnsiTheme="majorHAnsi" w:cstheme="majorBidi"/>
      <w:szCs w:val="22"/>
    </w:rPr>
  </w:style>
  <w:style w:type="character" w:styleId="Strong">
    <w:name w:val="Strong"/>
    <w:uiPriority w:val="22"/>
    <w:qFormat/>
    <w:rsid w:val="00974C5F"/>
    <w:rPr>
      <w:b/>
      <w:color w:val="ED7D31" w:themeColor="accent2"/>
    </w:rPr>
  </w:style>
  <w:style w:type="character" w:styleId="Emphasis">
    <w:name w:val="Emphasis"/>
    <w:uiPriority w:val="20"/>
    <w:qFormat/>
    <w:rsid w:val="00974C5F"/>
    <w:rPr>
      <w:b/>
      <w:i/>
      <w:spacing w:val="10"/>
    </w:rPr>
  </w:style>
  <w:style w:type="paragraph" w:styleId="NoSpacing">
    <w:name w:val="No Spacing"/>
    <w:basedOn w:val="Normal"/>
    <w:link w:val="NoSpacingChar"/>
    <w:uiPriority w:val="1"/>
    <w:qFormat/>
    <w:rsid w:val="00974C5F"/>
    <w:pPr>
      <w:spacing w:after="0" w:line="240" w:lineRule="auto"/>
    </w:pPr>
  </w:style>
  <w:style w:type="character" w:customStyle="1" w:styleId="NoSpacingChar">
    <w:name w:val="No Spacing Char"/>
    <w:basedOn w:val="DefaultParagraphFont"/>
    <w:link w:val="NoSpacing"/>
    <w:uiPriority w:val="1"/>
    <w:rsid w:val="00974C5F"/>
  </w:style>
  <w:style w:type="paragraph" w:styleId="Quote">
    <w:name w:val="Quote"/>
    <w:basedOn w:val="Normal"/>
    <w:next w:val="Normal"/>
    <w:link w:val="QuoteChar"/>
    <w:uiPriority w:val="29"/>
    <w:qFormat/>
    <w:rsid w:val="00974C5F"/>
    <w:rPr>
      <w:i/>
    </w:rPr>
  </w:style>
  <w:style w:type="character" w:customStyle="1" w:styleId="QuoteChar">
    <w:name w:val="Quote Char"/>
    <w:basedOn w:val="DefaultParagraphFont"/>
    <w:link w:val="Quote"/>
    <w:uiPriority w:val="29"/>
    <w:rsid w:val="00974C5F"/>
    <w:rPr>
      <w:i/>
    </w:rPr>
  </w:style>
  <w:style w:type="paragraph" w:styleId="IntenseQuote">
    <w:name w:val="Intense Quote"/>
    <w:basedOn w:val="Normal"/>
    <w:next w:val="Normal"/>
    <w:link w:val="IntenseQuoteChar"/>
    <w:uiPriority w:val="30"/>
    <w:qFormat/>
    <w:rsid w:val="00974C5F"/>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74C5F"/>
    <w:rPr>
      <w:b/>
      <w:i/>
      <w:color w:val="FFFFFF" w:themeColor="background1"/>
      <w:shd w:val="clear" w:color="auto" w:fill="ED7D31" w:themeFill="accent2"/>
    </w:rPr>
  </w:style>
  <w:style w:type="character" w:styleId="SubtleEmphasis">
    <w:name w:val="Subtle Emphasis"/>
    <w:uiPriority w:val="19"/>
    <w:qFormat/>
    <w:rsid w:val="00974C5F"/>
    <w:rPr>
      <w:i/>
    </w:rPr>
  </w:style>
  <w:style w:type="character" w:styleId="IntenseEmphasis">
    <w:name w:val="Intense Emphasis"/>
    <w:uiPriority w:val="21"/>
    <w:qFormat/>
    <w:rsid w:val="00974C5F"/>
    <w:rPr>
      <w:b/>
      <w:i/>
      <w:color w:val="ED7D31" w:themeColor="accent2"/>
      <w:spacing w:val="10"/>
    </w:rPr>
  </w:style>
  <w:style w:type="character" w:styleId="SubtleReference">
    <w:name w:val="Subtle Reference"/>
    <w:uiPriority w:val="31"/>
    <w:qFormat/>
    <w:rsid w:val="00974C5F"/>
    <w:rPr>
      <w:b/>
    </w:rPr>
  </w:style>
  <w:style w:type="character" w:styleId="IntenseReference">
    <w:name w:val="Intense Reference"/>
    <w:uiPriority w:val="32"/>
    <w:qFormat/>
    <w:rsid w:val="00974C5F"/>
    <w:rPr>
      <w:b/>
      <w:bCs/>
      <w:smallCaps/>
      <w:spacing w:val="5"/>
      <w:sz w:val="22"/>
      <w:szCs w:val="22"/>
      <w:u w:val="single"/>
    </w:rPr>
  </w:style>
  <w:style w:type="character" w:styleId="BookTitle">
    <w:name w:val="Book Title"/>
    <w:uiPriority w:val="33"/>
    <w:qFormat/>
    <w:rsid w:val="00974C5F"/>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974C5F"/>
    <w:pPr>
      <w:outlineLvl w:val="9"/>
    </w:pPr>
    <w:rPr>
      <w:lang w:bidi="en-US"/>
    </w:rPr>
  </w:style>
  <w:style w:type="paragraph" w:styleId="TOC1">
    <w:name w:val="toc 1"/>
    <w:basedOn w:val="Normal"/>
    <w:next w:val="Normal"/>
    <w:autoRedefine/>
    <w:uiPriority w:val="39"/>
    <w:unhideWhenUsed/>
    <w:qFormat/>
    <w:rsid w:val="00783251"/>
    <w:pPr>
      <w:spacing w:after="100"/>
    </w:pPr>
  </w:style>
  <w:style w:type="paragraph" w:styleId="TOC2">
    <w:name w:val="toc 2"/>
    <w:basedOn w:val="Normal"/>
    <w:next w:val="Normal"/>
    <w:autoRedefine/>
    <w:uiPriority w:val="39"/>
    <w:unhideWhenUsed/>
    <w:qFormat/>
    <w:rsid w:val="00783251"/>
    <w:pPr>
      <w:spacing w:after="100"/>
      <w:ind w:left="200"/>
    </w:pPr>
  </w:style>
  <w:style w:type="paragraph" w:styleId="TOC3">
    <w:name w:val="toc 3"/>
    <w:basedOn w:val="Normal"/>
    <w:next w:val="Normal"/>
    <w:autoRedefine/>
    <w:uiPriority w:val="39"/>
    <w:unhideWhenUsed/>
    <w:qFormat/>
    <w:rsid w:val="00783251"/>
    <w:pPr>
      <w:spacing w:after="100"/>
      <w:ind w:left="400"/>
    </w:pPr>
  </w:style>
  <w:style w:type="paragraph" w:styleId="EndnoteText">
    <w:name w:val="endnote text"/>
    <w:basedOn w:val="Normal"/>
    <w:link w:val="EndnoteTextChar"/>
    <w:uiPriority w:val="99"/>
    <w:semiHidden/>
    <w:unhideWhenUsed/>
    <w:rsid w:val="00427DC2"/>
    <w:pPr>
      <w:spacing w:after="0" w:line="240" w:lineRule="auto"/>
    </w:pPr>
  </w:style>
  <w:style w:type="character" w:customStyle="1" w:styleId="EndnoteTextChar">
    <w:name w:val="Endnote Text Char"/>
    <w:basedOn w:val="DefaultParagraphFont"/>
    <w:link w:val="EndnoteText"/>
    <w:uiPriority w:val="99"/>
    <w:semiHidden/>
    <w:rsid w:val="00427DC2"/>
  </w:style>
  <w:style w:type="character" w:styleId="EndnoteReference">
    <w:name w:val="endnote reference"/>
    <w:basedOn w:val="DefaultParagraphFont"/>
    <w:uiPriority w:val="99"/>
    <w:semiHidden/>
    <w:unhideWhenUsed/>
    <w:rsid w:val="00427DC2"/>
    <w:rPr>
      <w:vertAlign w:val="superscript"/>
    </w:rPr>
  </w:style>
  <w:style w:type="character" w:styleId="CommentReference">
    <w:name w:val="annotation reference"/>
    <w:basedOn w:val="DefaultParagraphFont"/>
    <w:uiPriority w:val="99"/>
    <w:semiHidden/>
    <w:unhideWhenUsed/>
    <w:rsid w:val="00D73B9A"/>
    <w:rPr>
      <w:sz w:val="16"/>
      <w:szCs w:val="16"/>
    </w:rPr>
  </w:style>
  <w:style w:type="paragraph" w:styleId="CommentText">
    <w:name w:val="annotation text"/>
    <w:basedOn w:val="Normal"/>
    <w:link w:val="CommentTextChar"/>
    <w:uiPriority w:val="99"/>
    <w:semiHidden/>
    <w:unhideWhenUsed/>
    <w:rsid w:val="00D73B9A"/>
    <w:pPr>
      <w:spacing w:line="240" w:lineRule="auto"/>
    </w:pPr>
  </w:style>
  <w:style w:type="character" w:customStyle="1" w:styleId="CommentTextChar">
    <w:name w:val="Comment Text Char"/>
    <w:basedOn w:val="DefaultParagraphFont"/>
    <w:link w:val="CommentText"/>
    <w:uiPriority w:val="99"/>
    <w:semiHidden/>
    <w:rsid w:val="00D73B9A"/>
  </w:style>
  <w:style w:type="paragraph" w:styleId="CommentSubject">
    <w:name w:val="annotation subject"/>
    <w:basedOn w:val="CommentText"/>
    <w:next w:val="CommentText"/>
    <w:link w:val="CommentSubjectChar"/>
    <w:uiPriority w:val="99"/>
    <w:semiHidden/>
    <w:unhideWhenUsed/>
    <w:rsid w:val="00D73B9A"/>
    <w:rPr>
      <w:b/>
      <w:bCs/>
    </w:rPr>
  </w:style>
  <w:style w:type="character" w:customStyle="1" w:styleId="CommentSubjectChar">
    <w:name w:val="Comment Subject Char"/>
    <w:basedOn w:val="CommentTextChar"/>
    <w:link w:val="CommentSubject"/>
    <w:uiPriority w:val="99"/>
    <w:semiHidden/>
    <w:rsid w:val="00D73B9A"/>
    <w:rPr>
      <w:b/>
      <w:bCs/>
    </w:rPr>
  </w:style>
  <w:style w:type="paragraph" w:styleId="Revision">
    <w:name w:val="Revision"/>
    <w:hidden/>
    <w:uiPriority w:val="99"/>
    <w:semiHidden/>
    <w:rsid w:val="009378BB"/>
    <w:pPr>
      <w:spacing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I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C5F"/>
  </w:style>
  <w:style w:type="paragraph" w:styleId="Heading1">
    <w:name w:val="heading 1"/>
    <w:basedOn w:val="Normal"/>
    <w:next w:val="Normal"/>
    <w:link w:val="Heading1Char"/>
    <w:autoRedefine/>
    <w:uiPriority w:val="9"/>
    <w:qFormat/>
    <w:rsid w:val="00BC3E9D"/>
    <w:pPr>
      <w:spacing w:after="0" w:line="360" w:lineRule="auto"/>
      <w:jc w:val="center"/>
      <w:outlineLvl w:val="0"/>
    </w:pPr>
    <w:rPr>
      <w:rFonts w:ascii="Times New Roman" w:hAnsi="Times New Roman"/>
      <w:b/>
      <w:smallCaps/>
      <w:color w:val="1F4E79" w:themeColor="accent1" w:themeShade="80"/>
      <w:spacing w:val="5"/>
      <w:sz w:val="32"/>
      <w:szCs w:val="32"/>
      <w:u w:val="double" w:color="222A35" w:themeColor="text2" w:themeShade="80"/>
    </w:rPr>
  </w:style>
  <w:style w:type="paragraph" w:styleId="Heading2">
    <w:name w:val="heading 2"/>
    <w:basedOn w:val="Heading1"/>
    <w:next w:val="Normal"/>
    <w:link w:val="Heading2Char"/>
    <w:autoRedefine/>
    <w:uiPriority w:val="9"/>
    <w:unhideWhenUsed/>
    <w:qFormat/>
    <w:rsid w:val="009339E0"/>
    <w:pPr>
      <w:numPr>
        <w:numId w:val="18"/>
      </w:numPr>
      <w:jc w:val="both"/>
      <w:outlineLvl w:val="1"/>
    </w:pPr>
    <w:rPr>
      <w:caps/>
      <w:smallCaps w:val="0"/>
      <w:sz w:val="28"/>
      <w:szCs w:val="28"/>
      <w:u w:val="none"/>
    </w:rPr>
  </w:style>
  <w:style w:type="paragraph" w:styleId="Heading3">
    <w:name w:val="heading 3"/>
    <w:basedOn w:val="Normal"/>
    <w:next w:val="Normal"/>
    <w:link w:val="Heading3Char"/>
    <w:uiPriority w:val="9"/>
    <w:unhideWhenUsed/>
    <w:qFormat/>
    <w:rsid w:val="00974C5F"/>
    <w:pPr>
      <w:numPr>
        <w:numId w:val="6"/>
      </w:numPr>
      <w:spacing w:after="0"/>
      <w:jc w:val="left"/>
      <w:outlineLvl w:val="2"/>
    </w:pPr>
    <w:rPr>
      <w:rFonts w:ascii="Times New Roman" w:hAnsi="Times New Roman"/>
      <w:b/>
      <w:i/>
      <w:color w:val="2E74B5" w:themeColor="accent1" w:themeShade="BF"/>
      <w:spacing w:val="5"/>
      <w:sz w:val="24"/>
      <w:szCs w:val="24"/>
    </w:rPr>
  </w:style>
  <w:style w:type="paragraph" w:styleId="Heading4">
    <w:name w:val="heading 4"/>
    <w:basedOn w:val="Heading3"/>
    <w:next w:val="Normal"/>
    <w:link w:val="Heading4Char"/>
    <w:autoRedefine/>
    <w:uiPriority w:val="9"/>
    <w:unhideWhenUsed/>
    <w:qFormat/>
    <w:rsid w:val="0054670C"/>
    <w:pPr>
      <w:numPr>
        <w:numId w:val="7"/>
      </w:numPr>
      <w:spacing w:before="240"/>
      <w:ind w:left="360"/>
      <w:outlineLvl w:val="3"/>
    </w:pPr>
    <w:rPr>
      <w:b w:val="0"/>
      <w:i w:val="0"/>
      <w:smallCaps/>
      <w:color w:val="1F4E79" w:themeColor="accent1" w:themeShade="80"/>
      <w:spacing w:val="10"/>
      <w:sz w:val="22"/>
      <w:szCs w:val="22"/>
    </w:rPr>
  </w:style>
  <w:style w:type="paragraph" w:styleId="Heading5">
    <w:name w:val="heading 5"/>
    <w:basedOn w:val="Normal"/>
    <w:next w:val="Normal"/>
    <w:link w:val="Heading5Char"/>
    <w:uiPriority w:val="9"/>
    <w:semiHidden/>
    <w:unhideWhenUsed/>
    <w:qFormat/>
    <w:rsid w:val="00974C5F"/>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974C5F"/>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974C5F"/>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974C5F"/>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974C5F"/>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3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366"/>
  </w:style>
  <w:style w:type="paragraph" w:styleId="Footer">
    <w:name w:val="footer"/>
    <w:basedOn w:val="Normal"/>
    <w:link w:val="FooterChar"/>
    <w:uiPriority w:val="99"/>
    <w:unhideWhenUsed/>
    <w:rsid w:val="003043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366"/>
  </w:style>
  <w:style w:type="paragraph" w:styleId="FootnoteText">
    <w:name w:val="footnote text"/>
    <w:aliases w:val="Footnote,ft,Footnote Text Char Char Char Char Char Char Char Char Char Char,Fußnote,Geneva 9,Font: Geneva 9,Boston 10,f,Footnote Text Char Char,Footnote Text Char Char Char Char Char Char Char Char Char Char Char Char,Footnote Text2,ft2"/>
    <w:basedOn w:val="Normal"/>
    <w:link w:val="FootnoteTextChar"/>
    <w:uiPriority w:val="99"/>
    <w:unhideWhenUsed/>
    <w:rsid w:val="00DF7202"/>
    <w:pPr>
      <w:spacing w:after="0" w:line="240" w:lineRule="auto"/>
    </w:pPr>
  </w:style>
  <w:style w:type="character" w:customStyle="1" w:styleId="FootnoteTextChar">
    <w:name w:val="Footnote Text Char"/>
    <w:aliases w:val="Footnote Char,ft Char,Footnote Text Char Char Char Char Char Char Char Char Char Char Char,Fußnote Char,Geneva 9 Char,Font: Geneva 9 Char,Boston 10 Char,f Char,Footnote Text Char Char Char,Footnote Text2 Char,ft2 Char"/>
    <w:basedOn w:val="DefaultParagraphFont"/>
    <w:link w:val="FootnoteText"/>
    <w:uiPriority w:val="99"/>
    <w:rsid w:val="00DF7202"/>
    <w:rPr>
      <w:sz w:val="20"/>
      <w:szCs w:val="20"/>
    </w:rPr>
  </w:style>
  <w:style w:type="character" w:styleId="FootnoteReference">
    <w:name w:val="footnote reference"/>
    <w:aliases w:val="ftref"/>
    <w:basedOn w:val="DefaultParagraphFont"/>
    <w:uiPriority w:val="99"/>
    <w:unhideWhenUsed/>
    <w:rsid w:val="00DF7202"/>
    <w:rPr>
      <w:vertAlign w:val="superscript"/>
    </w:rPr>
  </w:style>
  <w:style w:type="paragraph" w:styleId="ListParagraph">
    <w:name w:val="List Paragraph"/>
    <w:basedOn w:val="Normal"/>
    <w:uiPriority w:val="34"/>
    <w:qFormat/>
    <w:rsid w:val="00974C5F"/>
    <w:pPr>
      <w:ind w:left="720"/>
      <w:contextualSpacing/>
    </w:pPr>
  </w:style>
  <w:style w:type="paragraph" w:styleId="BalloonText">
    <w:name w:val="Balloon Text"/>
    <w:basedOn w:val="Normal"/>
    <w:link w:val="BalloonTextChar"/>
    <w:uiPriority w:val="99"/>
    <w:semiHidden/>
    <w:unhideWhenUsed/>
    <w:rsid w:val="00F449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999"/>
    <w:rPr>
      <w:rFonts w:ascii="Tahoma" w:hAnsi="Tahoma" w:cs="Tahoma"/>
      <w:sz w:val="16"/>
      <w:szCs w:val="16"/>
    </w:rPr>
  </w:style>
  <w:style w:type="character" w:styleId="Hyperlink">
    <w:name w:val="Hyperlink"/>
    <w:basedOn w:val="DefaultParagraphFont"/>
    <w:uiPriority w:val="99"/>
    <w:unhideWhenUsed/>
    <w:rsid w:val="00E26316"/>
    <w:rPr>
      <w:color w:val="0563C1" w:themeColor="hyperlink"/>
      <w:u w:val="single"/>
    </w:rPr>
  </w:style>
  <w:style w:type="paragraph" w:styleId="BodyText2">
    <w:name w:val="Body Text 2"/>
    <w:basedOn w:val="Normal"/>
    <w:link w:val="BodyText2Char"/>
    <w:uiPriority w:val="99"/>
    <w:semiHidden/>
    <w:unhideWhenUsed/>
    <w:rsid w:val="0086038F"/>
    <w:pPr>
      <w:spacing w:after="120" w:line="480" w:lineRule="auto"/>
    </w:pPr>
  </w:style>
  <w:style w:type="character" w:customStyle="1" w:styleId="BodyText2Char">
    <w:name w:val="Body Text 2 Char"/>
    <w:basedOn w:val="DefaultParagraphFont"/>
    <w:link w:val="BodyText2"/>
    <w:uiPriority w:val="99"/>
    <w:semiHidden/>
    <w:rsid w:val="0086038F"/>
  </w:style>
  <w:style w:type="character" w:customStyle="1" w:styleId="Heading1Char">
    <w:name w:val="Heading 1 Char"/>
    <w:basedOn w:val="DefaultParagraphFont"/>
    <w:link w:val="Heading1"/>
    <w:uiPriority w:val="9"/>
    <w:rsid w:val="00BC3E9D"/>
    <w:rPr>
      <w:rFonts w:ascii="Times New Roman" w:hAnsi="Times New Roman"/>
      <w:b/>
      <w:smallCaps/>
      <w:color w:val="1F4E79" w:themeColor="accent1" w:themeShade="80"/>
      <w:spacing w:val="5"/>
      <w:sz w:val="32"/>
      <w:szCs w:val="32"/>
      <w:u w:val="double" w:color="222A35" w:themeColor="text2" w:themeShade="80"/>
    </w:rPr>
  </w:style>
  <w:style w:type="character" w:customStyle="1" w:styleId="Heading2Char">
    <w:name w:val="Heading 2 Char"/>
    <w:basedOn w:val="DefaultParagraphFont"/>
    <w:link w:val="Heading2"/>
    <w:uiPriority w:val="9"/>
    <w:rsid w:val="009339E0"/>
    <w:rPr>
      <w:rFonts w:ascii="Times New Roman" w:hAnsi="Times New Roman"/>
      <w:b/>
      <w:caps/>
      <w:color w:val="1F4E79" w:themeColor="accent1" w:themeShade="80"/>
      <w:spacing w:val="5"/>
      <w:sz w:val="28"/>
      <w:szCs w:val="28"/>
      <w:u w:color="222A35" w:themeColor="text2" w:themeShade="80"/>
    </w:rPr>
  </w:style>
  <w:style w:type="character" w:customStyle="1" w:styleId="Heading3Char">
    <w:name w:val="Heading 3 Char"/>
    <w:basedOn w:val="DefaultParagraphFont"/>
    <w:link w:val="Heading3"/>
    <w:uiPriority w:val="9"/>
    <w:rsid w:val="00974C5F"/>
    <w:rPr>
      <w:rFonts w:ascii="Times New Roman" w:hAnsi="Times New Roman"/>
      <w:b/>
      <w:i/>
      <w:color w:val="2E74B5" w:themeColor="accent1" w:themeShade="BF"/>
      <w:spacing w:val="5"/>
      <w:sz w:val="24"/>
      <w:szCs w:val="24"/>
    </w:rPr>
  </w:style>
  <w:style w:type="character" w:customStyle="1" w:styleId="Heading4Char">
    <w:name w:val="Heading 4 Char"/>
    <w:basedOn w:val="DefaultParagraphFont"/>
    <w:link w:val="Heading4"/>
    <w:uiPriority w:val="9"/>
    <w:rsid w:val="0054670C"/>
    <w:rPr>
      <w:rFonts w:ascii="Times New Roman" w:hAnsi="Times New Roman"/>
      <w:smallCaps/>
      <w:color w:val="1F4E79" w:themeColor="accent1" w:themeShade="80"/>
      <w:spacing w:val="10"/>
      <w:sz w:val="22"/>
      <w:szCs w:val="22"/>
    </w:rPr>
  </w:style>
  <w:style w:type="character" w:customStyle="1" w:styleId="Heading5Char">
    <w:name w:val="Heading 5 Char"/>
    <w:basedOn w:val="DefaultParagraphFont"/>
    <w:link w:val="Heading5"/>
    <w:uiPriority w:val="9"/>
    <w:semiHidden/>
    <w:rsid w:val="00974C5F"/>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974C5F"/>
    <w:rPr>
      <w:smallCaps/>
      <w:color w:val="ED7D31" w:themeColor="accent2"/>
      <w:spacing w:val="5"/>
      <w:sz w:val="22"/>
    </w:rPr>
  </w:style>
  <w:style w:type="character" w:customStyle="1" w:styleId="Heading7Char">
    <w:name w:val="Heading 7 Char"/>
    <w:basedOn w:val="DefaultParagraphFont"/>
    <w:link w:val="Heading7"/>
    <w:uiPriority w:val="9"/>
    <w:semiHidden/>
    <w:rsid w:val="00974C5F"/>
    <w:rPr>
      <w:b/>
      <w:smallCaps/>
      <w:color w:val="ED7D31" w:themeColor="accent2"/>
      <w:spacing w:val="10"/>
    </w:rPr>
  </w:style>
  <w:style w:type="character" w:customStyle="1" w:styleId="Heading8Char">
    <w:name w:val="Heading 8 Char"/>
    <w:basedOn w:val="DefaultParagraphFont"/>
    <w:link w:val="Heading8"/>
    <w:uiPriority w:val="9"/>
    <w:semiHidden/>
    <w:rsid w:val="00974C5F"/>
    <w:rPr>
      <w:b/>
      <w:i/>
      <w:smallCaps/>
      <w:color w:val="C45911" w:themeColor="accent2" w:themeShade="BF"/>
    </w:rPr>
  </w:style>
  <w:style w:type="character" w:customStyle="1" w:styleId="Heading9Char">
    <w:name w:val="Heading 9 Char"/>
    <w:basedOn w:val="DefaultParagraphFont"/>
    <w:link w:val="Heading9"/>
    <w:uiPriority w:val="9"/>
    <w:semiHidden/>
    <w:rsid w:val="00974C5F"/>
    <w:rPr>
      <w:b/>
      <w:i/>
      <w:smallCaps/>
      <w:color w:val="823B0B" w:themeColor="accent2" w:themeShade="7F"/>
    </w:rPr>
  </w:style>
  <w:style w:type="paragraph" w:styleId="Caption">
    <w:name w:val="caption"/>
    <w:basedOn w:val="Normal"/>
    <w:next w:val="Normal"/>
    <w:uiPriority w:val="35"/>
    <w:semiHidden/>
    <w:unhideWhenUsed/>
    <w:qFormat/>
    <w:rsid w:val="00974C5F"/>
    <w:rPr>
      <w:b/>
      <w:bCs/>
      <w:caps/>
      <w:sz w:val="16"/>
      <w:szCs w:val="18"/>
    </w:rPr>
  </w:style>
  <w:style w:type="paragraph" w:styleId="Title">
    <w:name w:val="Title"/>
    <w:basedOn w:val="Normal"/>
    <w:next w:val="Normal"/>
    <w:link w:val="TitleChar"/>
    <w:uiPriority w:val="10"/>
    <w:qFormat/>
    <w:rsid w:val="00974C5F"/>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74C5F"/>
    <w:rPr>
      <w:smallCaps/>
      <w:sz w:val="48"/>
      <w:szCs w:val="48"/>
    </w:rPr>
  </w:style>
  <w:style w:type="paragraph" w:styleId="Subtitle">
    <w:name w:val="Subtitle"/>
    <w:basedOn w:val="Normal"/>
    <w:next w:val="Normal"/>
    <w:link w:val="SubtitleChar"/>
    <w:uiPriority w:val="11"/>
    <w:qFormat/>
    <w:rsid w:val="00974C5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74C5F"/>
    <w:rPr>
      <w:rFonts w:asciiTheme="majorHAnsi" w:eastAsiaTheme="majorEastAsia" w:hAnsiTheme="majorHAnsi" w:cstheme="majorBidi"/>
      <w:szCs w:val="22"/>
    </w:rPr>
  </w:style>
  <w:style w:type="character" w:styleId="Strong">
    <w:name w:val="Strong"/>
    <w:uiPriority w:val="22"/>
    <w:qFormat/>
    <w:rsid w:val="00974C5F"/>
    <w:rPr>
      <w:b/>
      <w:color w:val="ED7D31" w:themeColor="accent2"/>
    </w:rPr>
  </w:style>
  <w:style w:type="character" w:styleId="Emphasis">
    <w:name w:val="Emphasis"/>
    <w:uiPriority w:val="20"/>
    <w:qFormat/>
    <w:rsid w:val="00974C5F"/>
    <w:rPr>
      <w:b/>
      <w:i/>
      <w:spacing w:val="10"/>
    </w:rPr>
  </w:style>
  <w:style w:type="paragraph" w:styleId="NoSpacing">
    <w:name w:val="No Spacing"/>
    <w:basedOn w:val="Normal"/>
    <w:link w:val="NoSpacingChar"/>
    <w:uiPriority w:val="1"/>
    <w:qFormat/>
    <w:rsid w:val="00974C5F"/>
    <w:pPr>
      <w:spacing w:after="0" w:line="240" w:lineRule="auto"/>
    </w:pPr>
  </w:style>
  <w:style w:type="character" w:customStyle="1" w:styleId="NoSpacingChar">
    <w:name w:val="No Spacing Char"/>
    <w:basedOn w:val="DefaultParagraphFont"/>
    <w:link w:val="NoSpacing"/>
    <w:uiPriority w:val="1"/>
    <w:rsid w:val="00974C5F"/>
  </w:style>
  <w:style w:type="paragraph" w:styleId="Quote">
    <w:name w:val="Quote"/>
    <w:basedOn w:val="Normal"/>
    <w:next w:val="Normal"/>
    <w:link w:val="QuoteChar"/>
    <w:uiPriority w:val="29"/>
    <w:qFormat/>
    <w:rsid w:val="00974C5F"/>
    <w:rPr>
      <w:i/>
    </w:rPr>
  </w:style>
  <w:style w:type="character" w:customStyle="1" w:styleId="QuoteChar">
    <w:name w:val="Quote Char"/>
    <w:basedOn w:val="DefaultParagraphFont"/>
    <w:link w:val="Quote"/>
    <w:uiPriority w:val="29"/>
    <w:rsid w:val="00974C5F"/>
    <w:rPr>
      <w:i/>
    </w:rPr>
  </w:style>
  <w:style w:type="paragraph" w:styleId="IntenseQuote">
    <w:name w:val="Intense Quote"/>
    <w:basedOn w:val="Normal"/>
    <w:next w:val="Normal"/>
    <w:link w:val="IntenseQuoteChar"/>
    <w:uiPriority w:val="30"/>
    <w:qFormat/>
    <w:rsid w:val="00974C5F"/>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74C5F"/>
    <w:rPr>
      <w:b/>
      <w:i/>
      <w:color w:val="FFFFFF" w:themeColor="background1"/>
      <w:shd w:val="clear" w:color="auto" w:fill="ED7D31" w:themeFill="accent2"/>
    </w:rPr>
  </w:style>
  <w:style w:type="character" w:styleId="SubtleEmphasis">
    <w:name w:val="Subtle Emphasis"/>
    <w:uiPriority w:val="19"/>
    <w:qFormat/>
    <w:rsid w:val="00974C5F"/>
    <w:rPr>
      <w:i/>
    </w:rPr>
  </w:style>
  <w:style w:type="character" w:styleId="IntenseEmphasis">
    <w:name w:val="Intense Emphasis"/>
    <w:uiPriority w:val="21"/>
    <w:qFormat/>
    <w:rsid w:val="00974C5F"/>
    <w:rPr>
      <w:b/>
      <w:i/>
      <w:color w:val="ED7D31" w:themeColor="accent2"/>
      <w:spacing w:val="10"/>
    </w:rPr>
  </w:style>
  <w:style w:type="character" w:styleId="SubtleReference">
    <w:name w:val="Subtle Reference"/>
    <w:uiPriority w:val="31"/>
    <w:qFormat/>
    <w:rsid w:val="00974C5F"/>
    <w:rPr>
      <w:b/>
    </w:rPr>
  </w:style>
  <w:style w:type="character" w:styleId="IntenseReference">
    <w:name w:val="Intense Reference"/>
    <w:uiPriority w:val="32"/>
    <w:qFormat/>
    <w:rsid w:val="00974C5F"/>
    <w:rPr>
      <w:b/>
      <w:bCs/>
      <w:smallCaps/>
      <w:spacing w:val="5"/>
      <w:sz w:val="22"/>
      <w:szCs w:val="22"/>
      <w:u w:val="single"/>
    </w:rPr>
  </w:style>
  <w:style w:type="character" w:styleId="BookTitle">
    <w:name w:val="Book Title"/>
    <w:uiPriority w:val="33"/>
    <w:qFormat/>
    <w:rsid w:val="00974C5F"/>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974C5F"/>
    <w:pPr>
      <w:outlineLvl w:val="9"/>
    </w:pPr>
    <w:rPr>
      <w:lang w:bidi="en-US"/>
    </w:rPr>
  </w:style>
  <w:style w:type="paragraph" w:styleId="TOC1">
    <w:name w:val="toc 1"/>
    <w:basedOn w:val="Normal"/>
    <w:next w:val="Normal"/>
    <w:autoRedefine/>
    <w:uiPriority w:val="39"/>
    <w:unhideWhenUsed/>
    <w:qFormat/>
    <w:rsid w:val="00783251"/>
    <w:pPr>
      <w:spacing w:after="100"/>
    </w:pPr>
  </w:style>
  <w:style w:type="paragraph" w:styleId="TOC2">
    <w:name w:val="toc 2"/>
    <w:basedOn w:val="Normal"/>
    <w:next w:val="Normal"/>
    <w:autoRedefine/>
    <w:uiPriority w:val="39"/>
    <w:unhideWhenUsed/>
    <w:qFormat/>
    <w:rsid w:val="00783251"/>
    <w:pPr>
      <w:spacing w:after="100"/>
      <w:ind w:left="200"/>
    </w:pPr>
  </w:style>
  <w:style w:type="paragraph" w:styleId="TOC3">
    <w:name w:val="toc 3"/>
    <w:basedOn w:val="Normal"/>
    <w:next w:val="Normal"/>
    <w:autoRedefine/>
    <w:uiPriority w:val="39"/>
    <w:unhideWhenUsed/>
    <w:qFormat/>
    <w:rsid w:val="00783251"/>
    <w:pPr>
      <w:spacing w:after="100"/>
      <w:ind w:left="400"/>
    </w:pPr>
  </w:style>
  <w:style w:type="paragraph" w:styleId="EndnoteText">
    <w:name w:val="endnote text"/>
    <w:basedOn w:val="Normal"/>
    <w:link w:val="EndnoteTextChar"/>
    <w:uiPriority w:val="99"/>
    <w:semiHidden/>
    <w:unhideWhenUsed/>
    <w:rsid w:val="00427DC2"/>
    <w:pPr>
      <w:spacing w:after="0" w:line="240" w:lineRule="auto"/>
    </w:pPr>
  </w:style>
  <w:style w:type="character" w:customStyle="1" w:styleId="EndnoteTextChar">
    <w:name w:val="Endnote Text Char"/>
    <w:basedOn w:val="DefaultParagraphFont"/>
    <w:link w:val="EndnoteText"/>
    <w:uiPriority w:val="99"/>
    <w:semiHidden/>
    <w:rsid w:val="00427DC2"/>
  </w:style>
  <w:style w:type="character" w:styleId="EndnoteReference">
    <w:name w:val="endnote reference"/>
    <w:basedOn w:val="DefaultParagraphFont"/>
    <w:uiPriority w:val="99"/>
    <w:semiHidden/>
    <w:unhideWhenUsed/>
    <w:rsid w:val="00427DC2"/>
    <w:rPr>
      <w:vertAlign w:val="superscript"/>
    </w:rPr>
  </w:style>
  <w:style w:type="character" w:styleId="CommentReference">
    <w:name w:val="annotation reference"/>
    <w:basedOn w:val="DefaultParagraphFont"/>
    <w:uiPriority w:val="99"/>
    <w:semiHidden/>
    <w:unhideWhenUsed/>
    <w:rsid w:val="00D73B9A"/>
    <w:rPr>
      <w:sz w:val="16"/>
      <w:szCs w:val="16"/>
    </w:rPr>
  </w:style>
  <w:style w:type="paragraph" w:styleId="CommentText">
    <w:name w:val="annotation text"/>
    <w:basedOn w:val="Normal"/>
    <w:link w:val="CommentTextChar"/>
    <w:uiPriority w:val="99"/>
    <w:semiHidden/>
    <w:unhideWhenUsed/>
    <w:rsid w:val="00D73B9A"/>
    <w:pPr>
      <w:spacing w:line="240" w:lineRule="auto"/>
    </w:pPr>
  </w:style>
  <w:style w:type="character" w:customStyle="1" w:styleId="CommentTextChar">
    <w:name w:val="Comment Text Char"/>
    <w:basedOn w:val="DefaultParagraphFont"/>
    <w:link w:val="CommentText"/>
    <w:uiPriority w:val="99"/>
    <w:semiHidden/>
    <w:rsid w:val="00D73B9A"/>
  </w:style>
  <w:style w:type="paragraph" w:styleId="CommentSubject">
    <w:name w:val="annotation subject"/>
    <w:basedOn w:val="CommentText"/>
    <w:next w:val="CommentText"/>
    <w:link w:val="CommentSubjectChar"/>
    <w:uiPriority w:val="99"/>
    <w:semiHidden/>
    <w:unhideWhenUsed/>
    <w:rsid w:val="00D73B9A"/>
    <w:rPr>
      <w:b/>
      <w:bCs/>
    </w:rPr>
  </w:style>
  <w:style w:type="character" w:customStyle="1" w:styleId="CommentSubjectChar">
    <w:name w:val="Comment Subject Char"/>
    <w:basedOn w:val="CommentTextChar"/>
    <w:link w:val="CommentSubject"/>
    <w:uiPriority w:val="99"/>
    <w:semiHidden/>
    <w:rsid w:val="00D73B9A"/>
    <w:rPr>
      <w:b/>
      <w:bCs/>
    </w:rPr>
  </w:style>
  <w:style w:type="paragraph" w:styleId="Revision">
    <w:name w:val="Revision"/>
    <w:hidden/>
    <w:uiPriority w:val="99"/>
    <w:semiHidden/>
    <w:rsid w:val="009378BB"/>
    <w:pPr>
      <w:spacing w:after="0" w:line="240" w:lineRule="auto"/>
      <w:jc w:val="left"/>
    </w:pPr>
  </w:style>
</w:styles>
</file>

<file path=word/webSettings.xml><?xml version="1.0" encoding="utf-8"?>
<w:webSettings xmlns:r="http://schemas.openxmlformats.org/officeDocument/2006/relationships" xmlns:w="http://schemas.openxmlformats.org/wordprocessingml/2006/main">
  <w:divs>
    <w:div w:id="541290847">
      <w:bodyDiv w:val="1"/>
      <w:marLeft w:val="0"/>
      <w:marRight w:val="0"/>
      <w:marTop w:val="0"/>
      <w:marBottom w:val="0"/>
      <w:divBdr>
        <w:top w:val="none" w:sz="0" w:space="0" w:color="auto"/>
        <w:left w:val="none" w:sz="0" w:space="0" w:color="auto"/>
        <w:bottom w:val="none" w:sz="0" w:space="0" w:color="auto"/>
        <w:right w:val="none" w:sz="0" w:space="0" w:color="auto"/>
      </w:divBdr>
    </w:div>
    <w:div w:id="896475514">
      <w:bodyDiv w:val="1"/>
      <w:marLeft w:val="0"/>
      <w:marRight w:val="0"/>
      <w:marTop w:val="0"/>
      <w:marBottom w:val="0"/>
      <w:divBdr>
        <w:top w:val="none" w:sz="0" w:space="0" w:color="auto"/>
        <w:left w:val="none" w:sz="0" w:space="0" w:color="auto"/>
        <w:bottom w:val="none" w:sz="0" w:space="0" w:color="auto"/>
        <w:right w:val="none" w:sz="0" w:space="0" w:color="auto"/>
      </w:divBdr>
    </w:div>
    <w:div w:id="948393875">
      <w:bodyDiv w:val="1"/>
      <w:marLeft w:val="0"/>
      <w:marRight w:val="0"/>
      <w:marTop w:val="0"/>
      <w:marBottom w:val="0"/>
      <w:divBdr>
        <w:top w:val="none" w:sz="0" w:space="0" w:color="auto"/>
        <w:left w:val="none" w:sz="0" w:space="0" w:color="auto"/>
        <w:bottom w:val="none" w:sz="0" w:space="0" w:color="auto"/>
        <w:right w:val="none" w:sz="0" w:space="0" w:color="auto"/>
      </w:divBdr>
    </w:div>
    <w:div w:id="1209340823">
      <w:bodyDiv w:val="1"/>
      <w:marLeft w:val="0"/>
      <w:marRight w:val="0"/>
      <w:marTop w:val="0"/>
      <w:marBottom w:val="0"/>
      <w:divBdr>
        <w:top w:val="none" w:sz="0" w:space="0" w:color="auto"/>
        <w:left w:val="none" w:sz="0" w:space="0" w:color="auto"/>
        <w:bottom w:val="none" w:sz="0" w:space="0" w:color="auto"/>
        <w:right w:val="none" w:sz="0" w:space="0" w:color="auto"/>
      </w:divBdr>
    </w:div>
    <w:div w:id="1261139404">
      <w:bodyDiv w:val="1"/>
      <w:marLeft w:val="0"/>
      <w:marRight w:val="0"/>
      <w:marTop w:val="0"/>
      <w:marBottom w:val="0"/>
      <w:divBdr>
        <w:top w:val="none" w:sz="0" w:space="0" w:color="auto"/>
        <w:left w:val="none" w:sz="0" w:space="0" w:color="auto"/>
        <w:bottom w:val="none" w:sz="0" w:space="0" w:color="auto"/>
        <w:right w:val="none" w:sz="0" w:space="0" w:color="auto"/>
      </w:divBdr>
    </w:div>
    <w:div w:id="19872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agriculture.gov.ie/agri-foodindustry/agri-taxationreview/" TargetMode="Externa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emf"/><Relationship Id="rId27" Type="http://schemas.microsoft.com/office/2007/relationships/stylesWithEffects" Target="stylesWithEffects.xml"/></Relationships>
</file>

<file path=word/_rels/endnotes.xml.rels><?xml version="1.0" encoding="UTF-8" standalone="yes"?>
<Relationships xmlns="http://schemas.openxmlformats.org/package/2006/relationships"><Relationship Id="rId1" Type="http://schemas.openxmlformats.org/officeDocument/2006/relationships/hyperlink" Target="http://www.teagasc.ie/publications/2014/3305/Farm_Viability_Analys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2B78-97D3-4C28-8AD0-EB13E58BA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4759</Words>
  <Characters>27127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31823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Sinead McPhillips</dc:creator>
  <cp:lastModifiedBy>Anne.Dowling</cp:lastModifiedBy>
  <cp:revision>2</cp:revision>
  <cp:lastPrinted>2014-11-13T10:18:00Z</cp:lastPrinted>
  <dcterms:created xsi:type="dcterms:W3CDTF">2014-11-25T13:16:00Z</dcterms:created>
  <dcterms:modified xsi:type="dcterms:W3CDTF">2014-11-25T13:16:00Z</dcterms:modified>
</cp:coreProperties>
</file>