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51F9" w:rsidRDefault="00392700" w:rsidP="00F451F9">
      <w:pPr>
        <w:spacing w:before="120" w:after="120" w:line="240" w:lineRule="auto"/>
        <w:jc w:val="center"/>
        <w:rPr>
          <w:b/>
          <w:sz w:val="28"/>
          <w:szCs w:val="28"/>
        </w:rPr>
      </w:pPr>
      <w:r>
        <w:rPr>
          <w:b/>
          <w:sz w:val="28"/>
          <w:szCs w:val="28"/>
        </w:rPr>
        <w:t>S</w:t>
      </w:r>
      <w:r w:rsidR="00744044">
        <w:rPr>
          <w:b/>
          <w:sz w:val="28"/>
          <w:szCs w:val="28"/>
        </w:rPr>
        <w:t>ubmission</w:t>
      </w:r>
      <w:r>
        <w:rPr>
          <w:b/>
          <w:sz w:val="28"/>
          <w:szCs w:val="28"/>
        </w:rPr>
        <w:t xml:space="preserve"> </w:t>
      </w:r>
      <w:r w:rsidR="00F451F9">
        <w:rPr>
          <w:b/>
          <w:sz w:val="28"/>
          <w:szCs w:val="28"/>
        </w:rPr>
        <w:t xml:space="preserve">from </w:t>
      </w:r>
      <w:r w:rsidRPr="00744044">
        <w:rPr>
          <w:b/>
          <w:sz w:val="28"/>
          <w:szCs w:val="28"/>
        </w:rPr>
        <w:t>D</w:t>
      </w:r>
      <w:r>
        <w:rPr>
          <w:b/>
          <w:sz w:val="28"/>
          <w:szCs w:val="28"/>
        </w:rPr>
        <w:t xml:space="preserve">epartment of </w:t>
      </w:r>
      <w:r w:rsidRPr="00744044">
        <w:rPr>
          <w:b/>
          <w:sz w:val="28"/>
          <w:szCs w:val="28"/>
        </w:rPr>
        <w:t>F</w:t>
      </w:r>
      <w:r>
        <w:rPr>
          <w:b/>
          <w:sz w:val="28"/>
          <w:szCs w:val="28"/>
        </w:rPr>
        <w:t>inance</w:t>
      </w:r>
      <w:r w:rsidR="00744044">
        <w:rPr>
          <w:b/>
          <w:sz w:val="28"/>
          <w:szCs w:val="28"/>
        </w:rPr>
        <w:t xml:space="preserve"> to </w:t>
      </w:r>
      <w:r w:rsidR="0023209C" w:rsidRPr="00744044">
        <w:rPr>
          <w:b/>
          <w:sz w:val="28"/>
          <w:szCs w:val="28"/>
        </w:rPr>
        <w:t>D</w:t>
      </w:r>
      <w:r>
        <w:rPr>
          <w:b/>
          <w:sz w:val="28"/>
          <w:szCs w:val="28"/>
        </w:rPr>
        <w:t xml:space="preserve">epartment </w:t>
      </w:r>
    </w:p>
    <w:p w:rsidR="00F451F9" w:rsidRDefault="00392700" w:rsidP="00F451F9">
      <w:pPr>
        <w:spacing w:before="120" w:after="120" w:line="240" w:lineRule="auto"/>
        <w:jc w:val="center"/>
        <w:rPr>
          <w:b/>
          <w:sz w:val="28"/>
          <w:szCs w:val="28"/>
        </w:rPr>
      </w:pPr>
      <w:r>
        <w:rPr>
          <w:b/>
          <w:sz w:val="28"/>
          <w:szCs w:val="28"/>
        </w:rPr>
        <w:t xml:space="preserve">of </w:t>
      </w:r>
      <w:r w:rsidR="0023209C" w:rsidRPr="00744044">
        <w:rPr>
          <w:b/>
          <w:sz w:val="28"/>
          <w:szCs w:val="28"/>
        </w:rPr>
        <w:t>A</w:t>
      </w:r>
      <w:r>
        <w:rPr>
          <w:b/>
          <w:sz w:val="28"/>
          <w:szCs w:val="28"/>
        </w:rPr>
        <w:t xml:space="preserve">griculture, </w:t>
      </w:r>
      <w:r w:rsidR="0023209C" w:rsidRPr="00744044">
        <w:rPr>
          <w:b/>
          <w:sz w:val="28"/>
          <w:szCs w:val="28"/>
        </w:rPr>
        <w:t>F</w:t>
      </w:r>
      <w:r>
        <w:rPr>
          <w:b/>
          <w:sz w:val="28"/>
          <w:szCs w:val="28"/>
        </w:rPr>
        <w:t>ood</w:t>
      </w:r>
      <w:r w:rsidR="00F451F9">
        <w:rPr>
          <w:b/>
          <w:sz w:val="28"/>
          <w:szCs w:val="28"/>
        </w:rPr>
        <w:t xml:space="preserve"> and the Marine</w:t>
      </w:r>
    </w:p>
    <w:p w:rsidR="00F451F9" w:rsidRDefault="00F451F9" w:rsidP="000C41B7">
      <w:pPr>
        <w:spacing w:before="120" w:after="120" w:line="240" w:lineRule="auto"/>
        <w:jc w:val="both"/>
        <w:rPr>
          <w:b/>
          <w:sz w:val="28"/>
          <w:szCs w:val="28"/>
        </w:rPr>
      </w:pPr>
    </w:p>
    <w:p w:rsidR="0023209C" w:rsidRPr="00744044" w:rsidRDefault="00F451F9" w:rsidP="00F451F9">
      <w:pPr>
        <w:spacing w:before="120" w:after="120" w:line="240" w:lineRule="auto"/>
        <w:jc w:val="center"/>
        <w:rPr>
          <w:b/>
          <w:sz w:val="28"/>
          <w:szCs w:val="28"/>
        </w:rPr>
      </w:pPr>
      <w:r>
        <w:rPr>
          <w:b/>
          <w:sz w:val="28"/>
          <w:szCs w:val="28"/>
        </w:rPr>
        <w:t xml:space="preserve">Public Consultation on 2025 </w:t>
      </w:r>
      <w:r w:rsidR="0023209C" w:rsidRPr="00744044">
        <w:rPr>
          <w:b/>
          <w:sz w:val="28"/>
          <w:szCs w:val="28"/>
        </w:rPr>
        <w:t>Agri-Food Strategy</w:t>
      </w:r>
    </w:p>
    <w:p w:rsidR="00744044" w:rsidRDefault="00744044" w:rsidP="000C41B7">
      <w:pPr>
        <w:spacing w:before="120" w:after="120" w:line="240" w:lineRule="auto"/>
        <w:jc w:val="both"/>
        <w:rPr>
          <w:b/>
          <w:sz w:val="28"/>
          <w:szCs w:val="28"/>
        </w:rPr>
      </w:pPr>
    </w:p>
    <w:p w:rsidR="008C5959" w:rsidRPr="00FC2AC9" w:rsidRDefault="008C5959" w:rsidP="000C41B7">
      <w:pPr>
        <w:spacing w:before="120" w:after="120" w:line="240" w:lineRule="auto"/>
        <w:jc w:val="both"/>
        <w:rPr>
          <w:b/>
          <w:sz w:val="28"/>
          <w:szCs w:val="28"/>
        </w:rPr>
      </w:pPr>
      <w:r w:rsidRPr="00FC2AC9">
        <w:rPr>
          <w:b/>
          <w:sz w:val="28"/>
          <w:szCs w:val="28"/>
        </w:rPr>
        <w:t>Introduction</w:t>
      </w:r>
    </w:p>
    <w:p w:rsidR="003236D3" w:rsidRDefault="0023209C" w:rsidP="000C41B7">
      <w:pPr>
        <w:spacing w:before="120" w:after="120" w:line="240" w:lineRule="auto"/>
        <w:jc w:val="both"/>
      </w:pPr>
      <w:r>
        <w:t>A</w:t>
      </w:r>
      <w:r w:rsidR="00B00A2D">
        <w:t>gri</w:t>
      </w:r>
      <w:r>
        <w:t>-</w:t>
      </w:r>
      <w:r w:rsidR="00B00A2D">
        <w:t>Food Strategy 20</w:t>
      </w:r>
      <w:r w:rsidR="00D67EFC">
        <w:t>2</w:t>
      </w:r>
      <w:r w:rsidR="00B00A2D">
        <w:t xml:space="preserve">5 </w:t>
      </w:r>
      <w:r w:rsidR="009A42E1">
        <w:t xml:space="preserve">provides an important opportunity to take stock and consider </w:t>
      </w:r>
      <w:r w:rsidR="00DF5938">
        <w:t>how the industry</w:t>
      </w:r>
      <w:r w:rsidR="003236D3">
        <w:t xml:space="preserve"> should develop over the next ten years in the context of a changing global market </w:t>
      </w:r>
      <w:r w:rsidR="00B00A2D">
        <w:t>with significant emphasis on</w:t>
      </w:r>
      <w:r w:rsidR="003236D3">
        <w:t xml:space="preserve"> </w:t>
      </w:r>
      <w:r w:rsidR="007501EF">
        <w:t xml:space="preserve">environmentally </w:t>
      </w:r>
      <w:r w:rsidR="003236D3">
        <w:t xml:space="preserve">sustainable </w:t>
      </w:r>
      <w:r w:rsidR="00B00A2D">
        <w:t>production</w:t>
      </w:r>
      <w:r w:rsidR="003236D3">
        <w:t>.</w:t>
      </w:r>
      <w:r w:rsidR="00ED5844" w:rsidRPr="00ED5844">
        <w:t xml:space="preserve"> </w:t>
      </w:r>
      <w:r w:rsidR="00C66F1E">
        <w:t xml:space="preserve">The Department of Finance </w:t>
      </w:r>
      <w:r w:rsidR="00F6016D">
        <w:t>welcome</w:t>
      </w:r>
      <w:r w:rsidR="00C66F1E">
        <w:t>s</w:t>
      </w:r>
      <w:r w:rsidR="00FD595C">
        <w:t xml:space="preserve"> the opportunity to provide its</w:t>
      </w:r>
      <w:r w:rsidR="00F6016D">
        <w:t xml:space="preserve"> views on</w:t>
      </w:r>
      <w:r w:rsidR="00FD595C">
        <w:t xml:space="preserve"> </w:t>
      </w:r>
      <w:r w:rsidR="00BA0408">
        <w:t xml:space="preserve">some </w:t>
      </w:r>
      <w:r w:rsidR="00F6016D">
        <w:t xml:space="preserve">key issues that should be taken into </w:t>
      </w:r>
      <w:r w:rsidR="00BA0408">
        <w:t xml:space="preserve">account </w:t>
      </w:r>
      <w:r w:rsidR="00F6016D">
        <w:t>in the formulation of the Agri-Food Strategy 2025</w:t>
      </w:r>
      <w:r w:rsidR="00041836">
        <w:t>. This is particularly opportune in light of the Department’s recent joint</w:t>
      </w:r>
      <w:r w:rsidR="00726A33">
        <w:t xml:space="preserve"> </w:t>
      </w:r>
      <w:r w:rsidR="00041836">
        <w:t>work with the Department of Agriculture on the Agri-Taxation Review</w:t>
      </w:r>
      <w:r w:rsidR="00F6016D">
        <w:t>.</w:t>
      </w:r>
      <w:r w:rsidR="00041836">
        <w:t xml:space="preserve"> </w:t>
      </w:r>
    </w:p>
    <w:p w:rsidR="00F6016D" w:rsidRDefault="0048370D" w:rsidP="000C41B7">
      <w:pPr>
        <w:spacing w:before="120" w:after="120" w:line="240" w:lineRule="auto"/>
        <w:jc w:val="both"/>
      </w:pPr>
      <w:r>
        <w:t xml:space="preserve">We have </w:t>
      </w:r>
      <w:r w:rsidR="00392700">
        <w:t>reviewed</w:t>
      </w:r>
      <w:r>
        <w:t xml:space="preserve"> the background documents provided and </w:t>
      </w:r>
      <w:r w:rsidR="00BA0408">
        <w:t xml:space="preserve">considered </w:t>
      </w:r>
      <w:r w:rsidR="00D23FCF">
        <w:t xml:space="preserve">the </w:t>
      </w:r>
      <w:r w:rsidR="00BA0408">
        <w:t xml:space="preserve">issues posed in the </w:t>
      </w:r>
      <w:r w:rsidR="00D23FCF" w:rsidRPr="00CE5EA0">
        <w:t xml:space="preserve">questionnaire. </w:t>
      </w:r>
      <w:r w:rsidR="00CE5EA0" w:rsidRPr="00CE5EA0">
        <w:t xml:space="preserve">Given the </w:t>
      </w:r>
      <w:r w:rsidR="00E43B55" w:rsidRPr="00CE5EA0">
        <w:t xml:space="preserve">Department </w:t>
      </w:r>
      <w:r w:rsidR="005B12E0" w:rsidRPr="00CE5EA0">
        <w:t>of Finance</w:t>
      </w:r>
      <w:r w:rsidR="00CE5EA0">
        <w:t>’s</w:t>
      </w:r>
      <w:r w:rsidR="005B12E0" w:rsidRPr="00CE5EA0">
        <w:t xml:space="preserve"> </w:t>
      </w:r>
      <w:r w:rsidR="00BA0408">
        <w:t xml:space="preserve">broad </w:t>
      </w:r>
      <w:r w:rsidR="00E43B55" w:rsidRPr="00CE5EA0">
        <w:t>economic policy role</w:t>
      </w:r>
      <w:r w:rsidR="00CE5EA0" w:rsidRPr="00CE5EA0">
        <w:t>,</w:t>
      </w:r>
      <w:r w:rsidR="005B12E0" w:rsidRPr="00CE5EA0">
        <w:t xml:space="preserve"> </w:t>
      </w:r>
      <w:r w:rsidR="00E43B55" w:rsidRPr="00CE5EA0">
        <w:t xml:space="preserve">this submission </w:t>
      </w:r>
      <w:r w:rsidR="00BA0408">
        <w:t xml:space="preserve">focuses on </w:t>
      </w:r>
      <w:r w:rsidR="00E43B55" w:rsidRPr="00CE5EA0">
        <w:t>broader</w:t>
      </w:r>
      <w:r w:rsidR="00BA0408">
        <w:t>, “macro”</w:t>
      </w:r>
      <w:r w:rsidR="00CE5EA0" w:rsidRPr="00CE5EA0">
        <w:t xml:space="preserve"> </w:t>
      </w:r>
      <w:r w:rsidR="00BA0408">
        <w:t xml:space="preserve">aspects at the level of the themes under which the </w:t>
      </w:r>
      <w:r w:rsidR="00CE5EA0" w:rsidRPr="00CE5EA0">
        <w:t>questionnaire</w:t>
      </w:r>
      <w:r w:rsidR="00BA0408">
        <w:t xml:space="preserve"> is structured</w:t>
      </w:r>
      <w:r w:rsidR="00CE5EA0" w:rsidRPr="00CE5EA0">
        <w:t>.</w:t>
      </w:r>
    </w:p>
    <w:p w:rsidR="00CE5EA0" w:rsidRDefault="00CE5EA0" w:rsidP="000C41B7">
      <w:pPr>
        <w:spacing w:before="120" w:after="120" w:line="240" w:lineRule="auto"/>
        <w:jc w:val="both"/>
      </w:pPr>
    </w:p>
    <w:p w:rsidR="0048370D" w:rsidRDefault="0065579D" w:rsidP="000C41B7">
      <w:pPr>
        <w:spacing w:before="120" w:after="120" w:line="240" w:lineRule="auto"/>
        <w:jc w:val="both"/>
        <w:rPr>
          <w:b/>
          <w:sz w:val="28"/>
          <w:szCs w:val="28"/>
        </w:rPr>
      </w:pPr>
      <w:r w:rsidRPr="00FC2AC9">
        <w:rPr>
          <w:b/>
          <w:sz w:val="28"/>
          <w:szCs w:val="28"/>
        </w:rPr>
        <w:t>Overview</w:t>
      </w:r>
    </w:p>
    <w:p w:rsidR="00964C0A" w:rsidRDefault="00BA0408" w:rsidP="00BA0408">
      <w:pPr>
        <w:spacing w:before="120" w:after="120" w:line="240" w:lineRule="auto"/>
        <w:jc w:val="both"/>
      </w:pPr>
      <w:r>
        <w:t xml:space="preserve">Before addressing the questionnaire themes, there are a number of general considerations that the Department feels should be borne in mind in the development of the strategy. </w:t>
      </w:r>
    </w:p>
    <w:p w:rsidR="00392700" w:rsidRDefault="00392700" w:rsidP="00BA0408">
      <w:pPr>
        <w:pStyle w:val="ListParagraph"/>
        <w:numPr>
          <w:ilvl w:val="0"/>
          <w:numId w:val="10"/>
        </w:numPr>
        <w:spacing w:before="120" w:after="120"/>
        <w:jc w:val="both"/>
      </w:pPr>
      <w:r>
        <w:t xml:space="preserve">The agri-food sector </w:t>
      </w:r>
      <w:r w:rsidRPr="008C5959">
        <w:t xml:space="preserve">is recognised in the </w:t>
      </w:r>
      <w:r w:rsidRPr="00BA0408">
        <w:rPr>
          <w:i/>
        </w:rPr>
        <w:t>Medium</w:t>
      </w:r>
      <w:r w:rsidR="00BA0408" w:rsidRPr="00BA0408">
        <w:rPr>
          <w:i/>
        </w:rPr>
        <w:t>-</w:t>
      </w:r>
      <w:r w:rsidRPr="00BA0408">
        <w:rPr>
          <w:i/>
        </w:rPr>
        <w:t>Term Economic Strategy</w:t>
      </w:r>
      <w:r>
        <w:t xml:space="preserve"> (</w:t>
      </w:r>
      <w:r w:rsidRPr="008C5959">
        <w:t>MTES</w:t>
      </w:r>
      <w:r>
        <w:t>)</w:t>
      </w:r>
      <w:r w:rsidRPr="008C5959">
        <w:t xml:space="preserve"> as an area where Ireland has particular strengths and as an important indigenous industry which c</w:t>
      </w:r>
      <w:r>
        <w:t>an be a contributor to</w:t>
      </w:r>
      <w:r w:rsidRPr="008C5959">
        <w:t xml:space="preserve"> export</w:t>
      </w:r>
      <w:r w:rsidR="00BA0408">
        <w:t>-</w:t>
      </w:r>
      <w:r w:rsidRPr="008C5959">
        <w:t>led recovery. The propo</w:t>
      </w:r>
      <w:r>
        <w:t>sed a</w:t>
      </w:r>
      <w:r w:rsidRPr="008C5959">
        <w:t>gri</w:t>
      </w:r>
      <w:r>
        <w:t>-food s</w:t>
      </w:r>
      <w:r w:rsidRPr="008C5959">
        <w:t xml:space="preserve">trategy falls under the third pillar of MTES </w:t>
      </w:r>
      <w:r w:rsidR="00BA0408">
        <w:t>(“supporting employment and living standards”).</w:t>
      </w:r>
      <w:r w:rsidRPr="008C5959">
        <w:t xml:space="preserve"> </w:t>
      </w:r>
      <w:r w:rsidR="002D592D">
        <w:t>It is an important sector which provides employment in all parts of the country.</w:t>
      </w:r>
    </w:p>
    <w:p w:rsidR="00430D10" w:rsidRDefault="00850E63" w:rsidP="000C41B7">
      <w:pPr>
        <w:pStyle w:val="ListParagraph"/>
        <w:numPr>
          <w:ilvl w:val="0"/>
          <w:numId w:val="10"/>
        </w:numPr>
        <w:spacing w:before="120" w:after="120"/>
        <w:jc w:val="both"/>
      </w:pPr>
      <w:r>
        <w:t>In general,</w:t>
      </w:r>
      <w:r w:rsidR="00D83F96" w:rsidRPr="008C5959">
        <w:t xml:space="preserve"> sectoral strategies</w:t>
      </w:r>
      <w:r>
        <w:t xml:space="preserve"> of the type re</w:t>
      </w:r>
      <w:r w:rsidR="00392700">
        <w:t xml:space="preserve">presented by </w:t>
      </w:r>
      <w:r w:rsidR="00E25637">
        <w:t xml:space="preserve">the </w:t>
      </w:r>
      <w:r w:rsidR="00392700">
        <w:t xml:space="preserve">Agri-Food </w:t>
      </w:r>
      <w:r w:rsidR="004C215A">
        <w:t>Strategy</w:t>
      </w:r>
      <w:r>
        <w:t xml:space="preserve"> </w:t>
      </w:r>
      <w:r w:rsidR="00D83F96" w:rsidRPr="008C5959">
        <w:t>are importan</w:t>
      </w:r>
      <w:r w:rsidR="001F21E7">
        <w:t>t for future planning purposes</w:t>
      </w:r>
      <w:r w:rsidR="00617B7D">
        <w:t xml:space="preserve">. </w:t>
      </w:r>
      <w:r w:rsidR="00392700">
        <w:t xml:space="preserve">To be effective, </w:t>
      </w:r>
      <w:r w:rsidR="00617B7D">
        <w:t xml:space="preserve">it is important </w:t>
      </w:r>
      <w:r w:rsidR="00F451F9">
        <w:t xml:space="preserve">to ensure consistency </w:t>
      </w:r>
      <w:r w:rsidR="001F21E7">
        <w:t>with overall national economic policy and the fiscal and other constraints</w:t>
      </w:r>
      <w:r w:rsidR="00617B7D">
        <w:t xml:space="preserve"> imposed by our EU obligations.</w:t>
      </w:r>
    </w:p>
    <w:p w:rsidR="003A5DDC" w:rsidRDefault="003A5DDC" w:rsidP="000C41B7">
      <w:pPr>
        <w:pStyle w:val="ListParagraph"/>
        <w:numPr>
          <w:ilvl w:val="0"/>
          <w:numId w:val="8"/>
        </w:numPr>
        <w:spacing w:before="120" w:after="120"/>
        <w:jc w:val="both"/>
      </w:pPr>
      <w:r>
        <w:t>National economic policy focuses</w:t>
      </w:r>
      <w:r w:rsidR="00F451F9">
        <w:t xml:space="preserve">, as appropriate, </w:t>
      </w:r>
      <w:r>
        <w:t>on framework conditions</w:t>
      </w:r>
      <w:r w:rsidR="00E25637">
        <w:t xml:space="preserve">, i.e., </w:t>
      </w:r>
      <w:r>
        <w:t>the horizontal conditions that facilitate the development of all sectors</w:t>
      </w:r>
      <w:r w:rsidR="00E25637">
        <w:t xml:space="preserve"> of the economy. These include: </w:t>
      </w:r>
      <w:r>
        <w:t xml:space="preserve"> </w:t>
      </w:r>
      <w:r w:rsidR="001F21E7" w:rsidRPr="00232A45">
        <w:t xml:space="preserve">a stable macroeconomic policy environment; openness to flows of goods, services, capital and knowledge; </w:t>
      </w:r>
      <w:r w:rsidR="00E25637">
        <w:t xml:space="preserve">a </w:t>
      </w:r>
      <w:r w:rsidR="001F21E7" w:rsidRPr="00232A45">
        <w:t xml:space="preserve">flexible labour market, appropriate levels of competition and regulation; a </w:t>
      </w:r>
      <w:r w:rsidR="00E25637">
        <w:t xml:space="preserve">well-functioning </w:t>
      </w:r>
      <w:r w:rsidR="001F21E7" w:rsidRPr="00232A45">
        <w:t xml:space="preserve">financial system; and </w:t>
      </w:r>
      <w:r w:rsidR="00E25637">
        <w:t xml:space="preserve">high quality </w:t>
      </w:r>
      <w:r w:rsidR="001F21E7" w:rsidRPr="00232A45">
        <w:t>infrastructure and education system</w:t>
      </w:r>
      <w:r w:rsidR="00E25637">
        <w:t>s</w:t>
      </w:r>
      <w:r w:rsidR="001F21E7" w:rsidRPr="00232A45">
        <w:t>.</w:t>
      </w:r>
    </w:p>
    <w:p w:rsidR="0088558D" w:rsidRDefault="00F451F9" w:rsidP="00A81FA1">
      <w:pPr>
        <w:pStyle w:val="ListParagraph"/>
        <w:numPr>
          <w:ilvl w:val="0"/>
          <w:numId w:val="8"/>
        </w:numPr>
        <w:spacing w:before="120" w:after="120"/>
        <w:jc w:val="both"/>
      </w:pPr>
      <w:r>
        <w:t>The appropriate role for s</w:t>
      </w:r>
      <w:r w:rsidR="003A5DDC">
        <w:t xml:space="preserve">ectoral strategies </w:t>
      </w:r>
      <w:r w:rsidR="008D089D">
        <w:t xml:space="preserve">- </w:t>
      </w:r>
      <w:r w:rsidR="00E25637">
        <w:t xml:space="preserve">such as that proposed for the agri-food sector </w:t>
      </w:r>
      <w:r w:rsidR="008D089D">
        <w:t xml:space="preserve">- </w:t>
      </w:r>
      <w:r>
        <w:t xml:space="preserve">is </w:t>
      </w:r>
      <w:r w:rsidR="003A5DDC">
        <w:t>on identifying and addressing market failures or distortions that could impede the development or growth of the sector</w:t>
      </w:r>
      <w:r w:rsidR="00392700">
        <w:t xml:space="preserve"> in question</w:t>
      </w:r>
      <w:r w:rsidR="003A5DDC">
        <w:t>. They can also highlight possible complementarities or synergies with other government policy areas or sectoral strategies</w:t>
      </w:r>
      <w:r w:rsidR="00430D10">
        <w:t>.</w:t>
      </w:r>
      <w:r w:rsidR="00E25637">
        <w:t xml:space="preserve"> </w:t>
      </w:r>
      <w:r w:rsidR="0088558D" w:rsidRPr="008C5959">
        <w:t>In seeking to</w:t>
      </w:r>
      <w:r w:rsidR="0088558D">
        <w:t xml:space="preserve"> boost the contribution of a </w:t>
      </w:r>
      <w:r w:rsidR="0088558D" w:rsidRPr="008C5959">
        <w:t>sector</w:t>
      </w:r>
      <w:r w:rsidR="0088558D">
        <w:t xml:space="preserve">, </w:t>
      </w:r>
      <w:r w:rsidR="0088558D" w:rsidRPr="008C5959">
        <w:t xml:space="preserve">care should be taken to ensure that this is not to the detriment of other sectors of the economy. </w:t>
      </w:r>
    </w:p>
    <w:p w:rsidR="003A5DDC" w:rsidRDefault="003A5DDC" w:rsidP="000C41B7">
      <w:pPr>
        <w:pStyle w:val="ListParagraph"/>
        <w:numPr>
          <w:ilvl w:val="0"/>
          <w:numId w:val="8"/>
        </w:numPr>
        <w:spacing w:before="120" w:after="120"/>
        <w:jc w:val="both"/>
      </w:pPr>
      <w:r>
        <w:t>It is vitally important that these strategies are based on rigorous analysis and a clear diagnosis of barriers or other factors that may be preventing a sector from realising its potential</w:t>
      </w:r>
      <w:r w:rsidR="00430D10">
        <w:t>.</w:t>
      </w:r>
    </w:p>
    <w:p w:rsidR="003A5DDC" w:rsidRDefault="009135C0" w:rsidP="009600EA">
      <w:pPr>
        <w:pStyle w:val="ListParagraph"/>
        <w:numPr>
          <w:ilvl w:val="0"/>
          <w:numId w:val="8"/>
        </w:numPr>
        <w:spacing w:before="120" w:after="120"/>
        <w:jc w:val="both"/>
      </w:pPr>
      <w:r>
        <w:lastRenderedPageBreak/>
        <w:t>Sectoral strategies</w:t>
      </w:r>
      <w:r w:rsidR="003A5DDC">
        <w:t xml:space="preserve"> should avoid “second-best” solutions and aim to directly address the market failures or distortions in question</w:t>
      </w:r>
      <w:r w:rsidR="00430D10">
        <w:t>.</w:t>
      </w:r>
      <w:r w:rsidR="005E78BF">
        <w:t xml:space="preserve"> We welcome the 2025 Agri-Food Strategy Committee’s </w:t>
      </w:r>
      <w:r w:rsidR="00967F11">
        <w:t>intention</w:t>
      </w:r>
      <w:r w:rsidR="005E78BF">
        <w:t xml:space="preserve"> that the report </w:t>
      </w:r>
      <w:r w:rsidR="005E78BF" w:rsidRPr="005E78BF">
        <w:t xml:space="preserve">will be </w:t>
      </w:r>
      <w:r w:rsidR="00EC3872">
        <w:t>“</w:t>
      </w:r>
      <w:r w:rsidR="005E78BF" w:rsidRPr="005E78BF">
        <w:t>short and specific</w:t>
      </w:r>
      <w:r w:rsidR="00EC3872">
        <w:t>”</w:t>
      </w:r>
      <w:r w:rsidR="005E78BF">
        <w:t>, as this should help</w:t>
      </w:r>
      <w:r w:rsidR="003A5DDC">
        <w:t xml:space="preserve"> avoid</w:t>
      </w:r>
      <w:r w:rsidR="005E78BF">
        <w:t xml:space="preserve"> the creation of</w:t>
      </w:r>
      <w:r w:rsidR="003A5DDC">
        <w:t xml:space="preserve"> “wish lists” in the form of non-specific recommendations or options</w:t>
      </w:r>
      <w:r w:rsidR="004C215A">
        <w:t xml:space="preserve"> for which cost estimates have not been established. </w:t>
      </w:r>
    </w:p>
    <w:p w:rsidR="00AD000C" w:rsidRDefault="00E25637" w:rsidP="000C41B7">
      <w:pPr>
        <w:pStyle w:val="ListParagraph"/>
        <w:numPr>
          <w:ilvl w:val="0"/>
          <w:numId w:val="8"/>
        </w:numPr>
        <w:spacing w:before="120" w:after="120"/>
        <w:jc w:val="both"/>
      </w:pPr>
      <w:r>
        <w:t>Targets for the a</w:t>
      </w:r>
      <w:r w:rsidR="00C032F0">
        <w:t>gri-food sector’s</w:t>
      </w:r>
      <w:r w:rsidR="00AD000C">
        <w:t xml:space="preserve"> performance should be set using appropriate metrics such as gross value added and</w:t>
      </w:r>
      <w:r>
        <w:t>,</w:t>
      </w:r>
      <w:r w:rsidR="00AD000C">
        <w:t xml:space="preserve"> where relevant</w:t>
      </w:r>
      <w:r>
        <w:t>,</w:t>
      </w:r>
      <w:r w:rsidR="00AD000C">
        <w:t xml:space="preserve"> </w:t>
      </w:r>
      <w:r w:rsidR="00AD000C" w:rsidRPr="005054AE">
        <w:t xml:space="preserve">by reference to NACE codes. </w:t>
      </w:r>
      <w:r w:rsidR="00AD000C">
        <w:t xml:space="preserve">This will ensure accurate assessment of the </w:t>
      </w:r>
      <w:r>
        <w:t xml:space="preserve">sector’s </w:t>
      </w:r>
      <w:r w:rsidR="00AD000C">
        <w:t>performance over time and with other countries.</w:t>
      </w:r>
    </w:p>
    <w:p w:rsidR="00BE3F1A" w:rsidRDefault="003A5DDC" w:rsidP="000C41B7">
      <w:pPr>
        <w:pStyle w:val="ListParagraph"/>
        <w:numPr>
          <w:ilvl w:val="0"/>
          <w:numId w:val="8"/>
        </w:numPr>
        <w:spacing w:before="120" w:after="120"/>
        <w:jc w:val="both"/>
      </w:pPr>
      <w:r>
        <w:t>Regarding proposals for Government intervention or new initiatives it is important that consideration is given to the duration of suc</w:t>
      </w:r>
      <w:r w:rsidR="00784535">
        <w:t>h interventions and how they are to be</w:t>
      </w:r>
      <w:r>
        <w:t xml:space="preserve"> </w:t>
      </w:r>
      <w:r w:rsidR="00BE3F1A" w:rsidRPr="008C5959">
        <w:t xml:space="preserve">phased out and </w:t>
      </w:r>
      <w:r w:rsidR="00784535">
        <w:t xml:space="preserve">preference should be given to </w:t>
      </w:r>
      <w:r w:rsidR="00BE3F1A" w:rsidRPr="008C5959">
        <w:t>once-off reforms to the structure of the market which do not require ongoing exchequer spending. Further, the concepts of market failure, deadweight, displacement and opportunity cost should be to the fore in the consideration of supports.</w:t>
      </w:r>
    </w:p>
    <w:p w:rsidR="0088558D" w:rsidRDefault="00A7718B" w:rsidP="000C41B7">
      <w:pPr>
        <w:pStyle w:val="ListParagraph"/>
        <w:numPr>
          <w:ilvl w:val="0"/>
          <w:numId w:val="8"/>
        </w:numPr>
        <w:spacing w:before="120" w:after="120"/>
        <w:jc w:val="both"/>
      </w:pPr>
      <w:r>
        <w:t>Finally, g</w:t>
      </w:r>
      <w:r w:rsidR="0088558D" w:rsidRPr="008C5959">
        <w:t>iven th</w:t>
      </w:r>
      <w:r w:rsidR="00E25637">
        <w:t>e</w:t>
      </w:r>
      <w:r w:rsidR="0088558D" w:rsidRPr="008C5959">
        <w:t xml:space="preserve"> </w:t>
      </w:r>
      <w:r w:rsidR="00E25637">
        <w:t>envisaged horizon of the strategy out to 2025,</w:t>
      </w:r>
      <w:r w:rsidR="0088558D" w:rsidRPr="008C5959">
        <w:t xml:space="preserve"> </w:t>
      </w:r>
      <w:r w:rsidR="00E25637">
        <w:t xml:space="preserve">it should be designed in a flexible way that allows refinement or adaptation in response to </w:t>
      </w:r>
      <w:r w:rsidR="0088558D" w:rsidRPr="008C5959">
        <w:t>unforeseen developments</w:t>
      </w:r>
      <w:r w:rsidR="00F451F9">
        <w:t xml:space="preserve"> (positive or negative)</w:t>
      </w:r>
      <w:r w:rsidR="0088558D" w:rsidRPr="008C5959">
        <w:t>.</w:t>
      </w:r>
    </w:p>
    <w:p w:rsidR="003A5DDC" w:rsidRDefault="003A5DDC" w:rsidP="000C41B7">
      <w:pPr>
        <w:spacing w:before="120" w:after="120" w:line="240" w:lineRule="auto"/>
        <w:jc w:val="both"/>
      </w:pPr>
    </w:p>
    <w:p w:rsidR="00274662" w:rsidRDefault="00E6760E" w:rsidP="000C41B7">
      <w:pPr>
        <w:spacing w:before="120" w:after="120" w:line="240" w:lineRule="auto"/>
        <w:jc w:val="both"/>
        <w:rPr>
          <w:b/>
          <w:sz w:val="28"/>
          <w:szCs w:val="28"/>
        </w:rPr>
      </w:pPr>
      <w:r>
        <w:rPr>
          <w:b/>
          <w:sz w:val="28"/>
          <w:szCs w:val="28"/>
        </w:rPr>
        <w:t>Food H</w:t>
      </w:r>
      <w:r w:rsidR="00274662" w:rsidRPr="00E6760E">
        <w:rPr>
          <w:b/>
          <w:sz w:val="28"/>
          <w:szCs w:val="28"/>
        </w:rPr>
        <w:t xml:space="preserve">arvest 2020 </w:t>
      </w:r>
    </w:p>
    <w:p w:rsidR="00C4185D" w:rsidRPr="00E6760E" w:rsidRDefault="00C4185D" w:rsidP="000C41B7">
      <w:pPr>
        <w:spacing w:before="120" w:after="120" w:line="240" w:lineRule="auto"/>
        <w:jc w:val="both"/>
        <w:rPr>
          <w:b/>
          <w:sz w:val="28"/>
          <w:szCs w:val="28"/>
        </w:rPr>
      </w:pPr>
    </w:p>
    <w:p w:rsidR="00274662" w:rsidRDefault="00784535" w:rsidP="00274662">
      <w:pPr>
        <w:spacing w:before="120" w:after="120" w:line="240" w:lineRule="auto"/>
        <w:jc w:val="both"/>
        <w:rPr>
          <w:b/>
        </w:rPr>
      </w:pPr>
      <w:r>
        <w:rPr>
          <w:b/>
        </w:rPr>
        <w:t>Benchmarking agri-</w:t>
      </w:r>
      <w:r w:rsidR="00274662" w:rsidRPr="005054AE">
        <w:rPr>
          <w:b/>
        </w:rPr>
        <w:t>food</w:t>
      </w:r>
      <w:r>
        <w:rPr>
          <w:b/>
        </w:rPr>
        <w:t xml:space="preserve"> sector’s </w:t>
      </w:r>
      <w:r w:rsidR="00274662" w:rsidRPr="005054AE">
        <w:rPr>
          <w:b/>
        </w:rPr>
        <w:t>performance</w:t>
      </w:r>
    </w:p>
    <w:p w:rsidR="00274662" w:rsidRDefault="00274662" w:rsidP="00274662">
      <w:pPr>
        <w:spacing w:before="120" w:after="120" w:line="240" w:lineRule="auto"/>
        <w:jc w:val="both"/>
      </w:pPr>
      <w:r>
        <w:t>In order to correctly assess</w:t>
      </w:r>
      <w:r w:rsidR="00784535">
        <w:t xml:space="preserve"> the agri</w:t>
      </w:r>
      <w:r w:rsidR="00C66F1E">
        <w:t>-</w:t>
      </w:r>
      <w:r>
        <w:t>food sector</w:t>
      </w:r>
      <w:r w:rsidR="00784535">
        <w:t>’</w:t>
      </w:r>
      <w:r w:rsidR="00E21F2B">
        <w:t>s</w:t>
      </w:r>
      <w:r>
        <w:t xml:space="preserve"> performance over time and against other countries it </w:t>
      </w:r>
      <w:r w:rsidR="00E21F2B">
        <w:t xml:space="preserve">is </w:t>
      </w:r>
      <w:r>
        <w:t xml:space="preserve">necessary that appropriate metrics are used. </w:t>
      </w:r>
      <w:r w:rsidR="00E6760E">
        <w:t>The</w:t>
      </w:r>
      <w:r w:rsidR="00AD000C">
        <w:t xml:space="preserve"> points</w:t>
      </w:r>
      <w:r>
        <w:t xml:space="preserve"> made here are relevant for setti</w:t>
      </w:r>
      <w:r w:rsidR="00E21F2B">
        <w:t>ng targets for</w:t>
      </w:r>
      <w:r>
        <w:t xml:space="preserve"> </w:t>
      </w:r>
      <w:r w:rsidR="00E21F2B">
        <w:t>the Agri-F</w:t>
      </w:r>
      <w:r>
        <w:t>ood Strategy</w:t>
      </w:r>
      <w:r w:rsidR="00E21F2B">
        <w:t xml:space="preserve"> 2025</w:t>
      </w:r>
      <w:r w:rsidR="00C66F1E">
        <w:t xml:space="preserve"> but also for assessing the performance of Food Harvest 2020.</w:t>
      </w:r>
    </w:p>
    <w:p w:rsidR="00274662" w:rsidRPr="005054AE" w:rsidRDefault="00274662" w:rsidP="00274662">
      <w:pPr>
        <w:spacing w:before="120" w:after="120" w:line="240" w:lineRule="auto"/>
        <w:jc w:val="both"/>
      </w:pPr>
      <w:r w:rsidRPr="005054AE">
        <w:t>Targets for the new Agri-Food Strategy 2025 should focus mor</w:t>
      </w:r>
      <w:r w:rsidR="00AD000C">
        <w:t xml:space="preserve">e on gross value added (GVA) in </w:t>
      </w:r>
      <w:r w:rsidRPr="005054AE">
        <w:t>the sector. The existing strategy makes reference to this but it should be given greater prominence. Some types of agri-food output have a very high import content and as such growth in exports is not evidence of success per se. GVA is a much better metric of the employment- and tax-intensity of the sector</w:t>
      </w:r>
      <w:r w:rsidR="00AD000C">
        <w:t>.</w:t>
      </w:r>
      <w:r w:rsidRPr="005054AE">
        <w:t xml:space="preserve"> </w:t>
      </w:r>
    </w:p>
    <w:p w:rsidR="00274662" w:rsidRDefault="00274662" w:rsidP="00274662">
      <w:pPr>
        <w:jc w:val="both"/>
      </w:pPr>
      <w:r w:rsidRPr="005054AE">
        <w:t>Greater focus should be put on productivity as measured by output per worker, particularly in the primary sector. NACE 01-03 agriculture accounts for about nearly 5% of total employment but only about 1.5% of GVA. This makes it one of the lowest-productivity sectors in the economy. In the long-run income growth can only be driven by productivity growth. It would be useful to benchmark Irish agricultural output per worker at market prices (not income per worker) against European norms and perhaps use some level of convergence as a target. To improve productivity it may be unrealistic to expect both growth in GVA and employment, particularly at NACE 01-03 level.</w:t>
      </w:r>
    </w:p>
    <w:p w:rsidR="004D0AFF" w:rsidRDefault="00274662" w:rsidP="004D0AFF">
      <w:pPr>
        <w:jc w:val="both"/>
      </w:pPr>
      <w:r>
        <w:t xml:space="preserve">Since </w:t>
      </w:r>
      <w:r w:rsidRPr="005054AE">
        <w:t>2000</w:t>
      </w:r>
      <w:r>
        <w:t xml:space="preserve">, a large proportion </w:t>
      </w:r>
      <w:r w:rsidRPr="005054AE">
        <w:t xml:space="preserve">of the increase in GVA in the processing sector has come from </w:t>
      </w:r>
      <w:r w:rsidR="00E25637">
        <w:t xml:space="preserve">increased </w:t>
      </w:r>
      <w:r w:rsidRPr="005054AE">
        <w:t>gross operating surplus (i</w:t>
      </w:r>
      <w:r>
        <w:t>.</w:t>
      </w:r>
      <w:r w:rsidRPr="005054AE">
        <w:t>e</w:t>
      </w:r>
      <w:r>
        <w:t>.</w:t>
      </w:r>
      <w:r w:rsidRPr="005054AE">
        <w:t xml:space="preserve"> greater profitability). This holds in both absolute and relative terms. Compensation of employees is essentially flat over the period and down in real terms and as a share of GVA. It would be useful if some reference were made to the reasons for this large shift in the capital/labour ratio and to measured productivity. Is it improved mechanical processes or perhaps evidence of returns to multinational production which is very IP-intensive?</w:t>
      </w:r>
    </w:p>
    <w:p w:rsidR="004D0AFF" w:rsidRPr="0009656F" w:rsidRDefault="004D0AFF" w:rsidP="004D0AFF">
      <w:pPr>
        <w:jc w:val="both"/>
      </w:pPr>
      <w:r>
        <w:t xml:space="preserve">When assessing the </w:t>
      </w:r>
      <w:r w:rsidR="009152EC">
        <w:t xml:space="preserve">export </w:t>
      </w:r>
      <w:r>
        <w:t xml:space="preserve">performance </w:t>
      </w:r>
      <w:r w:rsidR="009152EC">
        <w:t>of the sector</w:t>
      </w:r>
      <w:r w:rsidR="00C4185D">
        <w:t>,</w:t>
      </w:r>
      <w:r w:rsidR="009152EC">
        <w:t xml:space="preserve"> consideration </w:t>
      </w:r>
      <w:r>
        <w:t>s</w:t>
      </w:r>
      <w:r w:rsidR="00C4185D">
        <w:t xml:space="preserve">hould be given to </w:t>
      </w:r>
      <w:r w:rsidRPr="0009656F">
        <w:t xml:space="preserve">growth in global market share </w:t>
      </w:r>
      <w:r>
        <w:t>as target metric</w:t>
      </w:r>
      <w:r w:rsidRPr="0009656F">
        <w:t xml:space="preserve"> of</w:t>
      </w:r>
      <w:r>
        <w:t xml:space="preserve"> success</w:t>
      </w:r>
      <w:r w:rsidRPr="0009656F">
        <w:t xml:space="preserve">. It is reasonably easy to calculate, particularly for </w:t>
      </w:r>
      <w:r w:rsidRPr="0009656F">
        <w:lastRenderedPageBreak/>
        <w:t xml:space="preserve">commodity-type exports by reference to the UN </w:t>
      </w:r>
      <w:proofErr w:type="spellStart"/>
      <w:r w:rsidRPr="008D089D">
        <w:rPr>
          <w:i/>
        </w:rPr>
        <w:t>Comtrade</w:t>
      </w:r>
      <w:proofErr w:type="spellEnd"/>
      <w:r w:rsidRPr="0009656F">
        <w:t xml:space="preserve"> database</w:t>
      </w:r>
      <w:r>
        <w:t xml:space="preserve">. </w:t>
      </w:r>
      <w:r w:rsidRPr="0009656F">
        <w:t xml:space="preserve">It could then be broken down further into market share </w:t>
      </w:r>
      <w:r w:rsidR="009152EC">
        <w:t xml:space="preserve">by </w:t>
      </w:r>
      <w:r w:rsidRPr="0009656F">
        <w:t xml:space="preserve">export </w:t>
      </w:r>
      <w:r w:rsidR="009152EC">
        <w:t xml:space="preserve">category and </w:t>
      </w:r>
      <w:r w:rsidRPr="0009656F">
        <w:t>target market.</w:t>
      </w:r>
      <w:r>
        <w:t xml:space="preserve"> </w:t>
      </w:r>
    </w:p>
    <w:p w:rsidR="00274662" w:rsidRDefault="00274662" w:rsidP="00274662">
      <w:pPr>
        <w:spacing w:before="120" w:after="120" w:line="240" w:lineRule="auto"/>
        <w:jc w:val="both"/>
      </w:pPr>
      <w:r w:rsidRPr="005054AE">
        <w:t xml:space="preserve">Finally, it would be useful if the targets were more clearly set by reference to NACE codes. It is </w:t>
      </w:r>
      <w:r w:rsidR="00C66F1E">
        <w:t xml:space="preserve">often difficult to establish </w:t>
      </w:r>
      <w:r w:rsidRPr="005054AE">
        <w:t>exactly what is included in the agri-food sector and what is not. The CSO have some new data on the components of GVA by NACE code.</w:t>
      </w:r>
      <w:r w:rsidR="00EC6F07">
        <w:t xml:space="preserve"> </w:t>
      </w:r>
    </w:p>
    <w:p w:rsidR="008A5859" w:rsidRDefault="008A5859" w:rsidP="000C41B7">
      <w:pPr>
        <w:spacing w:before="120" w:after="120" w:line="240" w:lineRule="auto"/>
        <w:jc w:val="both"/>
      </w:pPr>
    </w:p>
    <w:p w:rsidR="009A42E1" w:rsidRPr="00FC2AC9" w:rsidRDefault="008E13F0" w:rsidP="000C41B7">
      <w:pPr>
        <w:spacing w:before="120" w:after="120" w:line="240" w:lineRule="auto"/>
        <w:jc w:val="both"/>
        <w:rPr>
          <w:b/>
          <w:sz w:val="28"/>
          <w:szCs w:val="28"/>
        </w:rPr>
      </w:pPr>
      <w:r w:rsidRPr="00FC2AC9">
        <w:rPr>
          <w:b/>
          <w:sz w:val="28"/>
          <w:szCs w:val="28"/>
        </w:rPr>
        <w:t>S</w:t>
      </w:r>
      <w:r w:rsidR="0021742C">
        <w:rPr>
          <w:b/>
          <w:sz w:val="28"/>
          <w:szCs w:val="28"/>
        </w:rPr>
        <w:t>ustainability/ C</w:t>
      </w:r>
      <w:r w:rsidRPr="00FC2AC9">
        <w:rPr>
          <w:b/>
          <w:sz w:val="28"/>
          <w:szCs w:val="28"/>
        </w:rPr>
        <w:t>limate c</w:t>
      </w:r>
      <w:r w:rsidR="009A42E1" w:rsidRPr="00FC2AC9">
        <w:rPr>
          <w:b/>
          <w:sz w:val="28"/>
          <w:szCs w:val="28"/>
        </w:rPr>
        <w:t>hange</w:t>
      </w:r>
    </w:p>
    <w:p w:rsidR="00240BE9" w:rsidRPr="00D90CAE" w:rsidRDefault="001F1B2F" w:rsidP="000C41B7">
      <w:pPr>
        <w:spacing w:before="120" w:after="120" w:line="240" w:lineRule="auto"/>
        <w:jc w:val="both"/>
      </w:pPr>
      <w:r w:rsidRPr="00D90CAE">
        <w:t xml:space="preserve">It is clear the issues of climate change and </w:t>
      </w:r>
      <w:r w:rsidR="006820F6" w:rsidRPr="00D90CAE">
        <w:t>sustainability</w:t>
      </w:r>
      <w:r w:rsidRPr="00D90CAE">
        <w:t xml:space="preserve"> are key challenges that must be addressed </w:t>
      </w:r>
      <w:r w:rsidR="00E25637">
        <w:t xml:space="preserve">across </w:t>
      </w:r>
      <w:r w:rsidRPr="00D90CAE">
        <w:t xml:space="preserve">all sectors </w:t>
      </w:r>
      <w:r w:rsidR="00E25637">
        <w:t xml:space="preserve">of </w:t>
      </w:r>
      <w:r w:rsidRPr="00D90CAE">
        <w:t>the economy. However,</w:t>
      </w:r>
      <w:r w:rsidR="006820F6" w:rsidRPr="00D90CAE">
        <w:t xml:space="preserve"> </w:t>
      </w:r>
      <w:r w:rsidRPr="00D90CAE">
        <w:t>the</w:t>
      </w:r>
      <w:r w:rsidR="0023209C">
        <w:t xml:space="preserve"> a</w:t>
      </w:r>
      <w:r w:rsidR="006820F6" w:rsidRPr="00D90CAE">
        <w:t>gri-food sector</w:t>
      </w:r>
      <w:r w:rsidR="00240BE9" w:rsidRPr="00D90CAE">
        <w:t xml:space="preserve"> is one</w:t>
      </w:r>
      <w:r w:rsidR="006820F6" w:rsidRPr="00D90CAE">
        <w:t xml:space="preserve"> where the </w:t>
      </w:r>
      <w:r w:rsidRPr="00D90CAE">
        <w:t xml:space="preserve">need for adjustment </w:t>
      </w:r>
      <w:r w:rsidR="008C5959">
        <w:t>is</w:t>
      </w:r>
      <w:r w:rsidRPr="00D90CAE">
        <w:t xml:space="preserve"> greater </w:t>
      </w:r>
      <w:r w:rsidR="006820F6" w:rsidRPr="00D90CAE">
        <w:t>compare</w:t>
      </w:r>
      <w:r w:rsidR="00240BE9" w:rsidRPr="00D90CAE">
        <w:t>d</w:t>
      </w:r>
      <w:r w:rsidR="006820F6" w:rsidRPr="00D90CAE">
        <w:t xml:space="preserve"> with other sectors</w:t>
      </w:r>
      <w:r w:rsidRPr="00D90CAE">
        <w:t xml:space="preserve">. </w:t>
      </w:r>
      <w:r w:rsidR="003A5DDC">
        <w:t>It is important that sustainability concerns are fully addressed and integrated into the strategy.</w:t>
      </w:r>
    </w:p>
    <w:p w:rsidR="006820F6" w:rsidRPr="00D90CAE" w:rsidRDefault="00084001" w:rsidP="000C41B7">
      <w:pPr>
        <w:spacing w:before="120" w:after="120" w:line="240" w:lineRule="auto"/>
        <w:jc w:val="both"/>
      </w:pPr>
      <w:r w:rsidRPr="00D90CAE">
        <w:t>As discussed in the background paper on climate change and sustainability, greater pressures will continue to be placed on our natural resources as global population increases and food demands change into the foreseeable future.</w:t>
      </w:r>
      <w:r w:rsidR="00240BE9" w:rsidRPr="00D90CAE">
        <w:t xml:space="preserve"> There is now </w:t>
      </w:r>
      <w:r w:rsidR="003236D3" w:rsidRPr="00D90CAE">
        <w:t xml:space="preserve">a </w:t>
      </w:r>
      <w:r w:rsidR="00240BE9" w:rsidRPr="00D90CAE">
        <w:t>strong emphasis</w:t>
      </w:r>
      <w:r w:rsidR="008D089D">
        <w:t>,</w:t>
      </w:r>
      <w:r w:rsidR="00240BE9" w:rsidRPr="00D90CAE">
        <w:t xml:space="preserve"> both at</w:t>
      </w:r>
      <w:r w:rsidR="00036F1D" w:rsidRPr="00D90CAE">
        <w:t xml:space="preserve"> the</w:t>
      </w:r>
      <w:r w:rsidR="00240BE9" w:rsidRPr="00D90CAE">
        <w:t xml:space="preserve"> national and international level</w:t>
      </w:r>
      <w:r w:rsidR="008D089D">
        <w:t>,</w:t>
      </w:r>
      <w:r w:rsidR="00240BE9" w:rsidRPr="00D90CAE">
        <w:t xml:space="preserve"> to develop and adopt sustainable ag</w:t>
      </w:r>
      <w:r w:rsidR="00242313" w:rsidRPr="00D90CAE">
        <w:t>ricultural production systems that</w:t>
      </w:r>
      <w:r w:rsidR="00240BE9" w:rsidRPr="00D90CAE">
        <w:t xml:space="preserve"> </w:t>
      </w:r>
      <w:r w:rsidR="00EF15A8" w:rsidRPr="00D90CAE">
        <w:t>ensure resources</w:t>
      </w:r>
      <w:r w:rsidR="00240BE9" w:rsidRPr="00D90CAE">
        <w:t xml:space="preserve"> are efficient</w:t>
      </w:r>
      <w:r w:rsidR="004E1C37" w:rsidRPr="00D90CAE">
        <w:t xml:space="preserve">ly managed </w:t>
      </w:r>
      <w:r w:rsidR="00276F47">
        <w:t>in order to</w:t>
      </w:r>
      <w:r w:rsidR="00EF15A8" w:rsidRPr="00D90CAE">
        <w:t xml:space="preserve"> </w:t>
      </w:r>
      <w:r w:rsidR="004E1C37" w:rsidRPr="00D90CAE">
        <w:t>achieve biodiversity, air and water quality targets</w:t>
      </w:r>
      <w:r w:rsidR="00276F47">
        <w:t>.</w:t>
      </w:r>
    </w:p>
    <w:p w:rsidR="007631BE" w:rsidRDefault="00162BC1" w:rsidP="000C41B7">
      <w:pPr>
        <w:spacing w:before="120" w:after="120" w:line="240" w:lineRule="auto"/>
        <w:jc w:val="both"/>
        <w:rPr>
          <w:i/>
        </w:rPr>
      </w:pPr>
      <w:r w:rsidRPr="00D90CAE">
        <w:t xml:space="preserve">Furthermore, the </w:t>
      </w:r>
      <w:r w:rsidR="0023209C">
        <w:t xml:space="preserve">agri-food </w:t>
      </w:r>
      <w:r w:rsidR="00AE2D5D" w:rsidRPr="00D90CAE">
        <w:t>sectors</w:t>
      </w:r>
      <w:r w:rsidR="00120BED" w:rsidRPr="00D90CAE">
        <w:t xml:space="preserve"> </w:t>
      </w:r>
      <w:r w:rsidRPr="00D90CAE">
        <w:t xml:space="preserve">face an important trade off as the envisaged expansion of the sector continues </w:t>
      </w:r>
      <w:r w:rsidR="00A627EC" w:rsidRPr="00D90CAE">
        <w:t>so too will</w:t>
      </w:r>
      <w:r w:rsidRPr="00D90CAE">
        <w:t xml:space="preserve"> </w:t>
      </w:r>
      <w:r w:rsidR="0023209C">
        <w:t xml:space="preserve">the rise in </w:t>
      </w:r>
      <w:r w:rsidRPr="00D90CAE">
        <w:t>associated pollutant</w:t>
      </w:r>
      <w:r w:rsidR="00A627EC" w:rsidRPr="00D90CAE">
        <w:t>s</w:t>
      </w:r>
      <w:r w:rsidRPr="00D90CAE">
        <w:t xml:space="preserve"> which </w:t>
      </w:r>
      <w:r w:rsidR="00E9001D" w:rsidRPr="00D90CAE">
        <w:t>will</w:t>
      </w:r>
      <w:r w:rsidR="00477C0D" w:rsidRPr="00D90CAE">
        <w:t xml:space="preserve"> place significant</w:t>
      </w:r>
      <w:r w:rsidR="00BD0744" w:rsidRPr="00D90CAE">
        <w:t xml:space="preserve"> pressure on Ireland</w:t>
      </w:r>
      <w:r w:rsidR="00477C0D" w:rsidRPr="00D90CAE">
        <w:t>’</w:t>
      </w:r>
      <w:r w:rsidR="00BD0744" w:rsidRPr="00D90CAE">
        <w:t>s ability to meet</w:t>
      </w:r>
      <w:r w:rsidR="00477C0D" w:rsidRPr="00D90CAE">
        <w:t xml:space="preserve"> its</w:t>
      </w:r>
      <w:r w:rsidR="00BD0744" w:rsidRPr="00D90CAE">
        <w:t xml:space="preserve"> climate change policy targets.</w:t>
      </w:r>
      <w:r w:rsidR="00664A90">
        <w:t xml:space="preserve"> </w:t>
      </w:r>
      <w:r w:rsidR="004D7F95" w:rsidRPr="00D90CAE">
        <w:t xml:space="preserve">This point is raised </w:t>
      </w:r>
      <w:r w:rsidR="00ED5844">
        <w:t xml:space="preserve">on a number of occasions </w:t>
      </w:r>
      <w:r w:rsidR="004D7F95" w:rsidRPr="00D90CAE">
        <w:t xml:space="preserve">in </w:t>
      </w:r>
      <w:r w:rsidR="00F61694">
        <w:t xml:space="preserve">the </w:t>
      </w:r>
      <w:r w:rsidR="004D7F95" w:rsidRPr="00D90CAE">
        <w:t>various documents</w:t>
      </w:r>
      <w:r w:rsidR="00ED5844">
        <w:t xml:space="preserve"> provided</w:t>
      </w:r>
      <w:r w:rsidR="004D7F95" w:rsidRPr="00D90CAE">
        <w:t>. One specific example of note is i</w:t>
      </w:r>
      <w:r w:rsidR="004D7F95" w:rsidRPr="009135C0">
        <w:t xml:space="preserve">n the background paper where reference is made to the EU Climate and Energy Package of 2008, and it is stated that the </w:t>
      </w:r>
      <w:r w:rsidR="00147482" w:rsidRPr="009135C0">
        <w:t>target</w:t>
      </w:r>
      <w:r w:rsidR="004D7F95" w:rsidRPr="009135C0">
        <w:t xml:space="preserve"> set out </w:t>
      </w:r>
      <w:r w:rsidR="004D7F95" w:rsidRPr="009135C0">
        <w:rPr>
          <w:i/>
        </w:rPr>
        <w:t>“is a very challenging target for Ireland especially as agriculture has the largest emissions profile in the non-ETS. A high share of the emissions come from agricultural livestock where there is limited availability of cost effective mitigation options”.</w:t>
      </w:r>
      <w:r w:rsidR="007631BE">
        <w:rPr>
          <w:i/>
        </w:rPr>
        <w:t xml:space="preserve"> </w:t>
      </w:r>
    </w:p>
    <w:p w:rsidR="007631BE" w:rsidRPr="00D90CAE" w:rsidRDefault="00477C0D" w:rsidP="007631BE">
      <w:pPr>
        <w:spacing w:before="120" w:after="120" w:line="240" w:lineRule="auto"/>
        <w:jc w:val="both"/>
      </w:pPr>
      <w:r w:rsidRPr="00D90CAE">
        <w:t xml:space="preserve">Missed targets can result in the imposition of fines which </w:t>
      </w:r>
      <w:r w:rsidR="00E25637">
        <w:t xml:space="preserve">might fall on </w:t>
      </w:r>
      <w:r w:rsidR="0023209C">
        <w:t>the E</w:t>
      </w:r>
      <w:r w:rsidR="007631BE">
        <w:t>xchequer.</w:t>
      </w:r>
      <w:r w:rsidR="00664A90">
        <w:t xml:space="preserve"> In line with the polluter pays principle, where appropriate, the costs </w:t>
      </w:r>
      <w:r w:rsidR="00664A90" w:rsidRPr="00664A90">
        <w:t>associated with climate change should be internalised</w:t>
      </w:r>
      <w:r w:rsidR="00FC30FA">
        <w:t>.</w:t>
      </w:r>
      <w:r w:rsidR="007631BE">
        <w:t xml:space="preserve"> In this context, the findings of the Environmental Analysis of the 2025 Agri-Food Strategy will be particularly relevant in ensuring that sustainability concerns are fully addressed and integrated into the strategy.</w:t>
      </w:r>
    </w:p>
    <w:p w:rsidR="00BC405F" w:rsidRPr="00D90CAE" w:rsidRDefault="00BC405F" w:rsidP="000C41B7">
      <w:pPr>
        <w:spacing w:before="120" w:after="120" w:line="240" w:lineRule="auto"/>
        <w:jc w:val="both"/>
      </w:pPr>
    </w:p>
    <w:p w:rsidR="009A42E1" w:rsidRPr="00FC2AC9" w:rsidRDefault="009A42E1" w:rsidP="000C41B7">
      <w:pPr>
        <w:spacing w:before="120" w:after="120" w:line="240" w:lineRule="auto"/>
        <w:jc w:val="both"/>
        <w:rPr>
          <w:b/>
          <w:sz w:val="28"/>
          <w:szCs w:val="28"/>
        </w:rPr>
      </w:pPr>
      <w:r w:rsidRPr="00FC2AC9">
        <w:rPr>
          <w:b/>
          <w:sz w:val="28"/>
          <w:szCs w:val="28"/>
        </w:rPr>
        <w:t>Global market context i</w:t>
      </w:r>
      <w:r w:rsidR="00FC2AC9">
        <w:rPr>
          <w:b/>
          <w:sz w:val="28"/>
          <w:szCs w:val="28"/>
        </w:rPr>
        <w:t>ncluding opportunities for FDI</w:t>
      </w:r>
    </w:p>
    <w:p w:rsidR="005D4887" w:rsidRDefault="00D90CAE" w:rsidP="000C41B7">
      <w:pPr>
        <w:spacing w:before="120" w:after="120" w:line="240" w:lineRule="auto"/>
        <w:jc w:val="both"/>
      </w:pPr>
      <w:r>
        <w:t xml:space="preserve">In terms of the major changes and challenges that are likely to emerge in the global market in the period up to 2025, it is expected that the continued </w:t>
      </w:r>
      <w:r w:rsidR="005768CA">
        <w:t>integration of economies across the globe</w:t>
      </w:r>
      <w:r w:rsidR="00A627EC">
        <w:t>,</w:t>
      </w:r>
      <w:r w:rsidR="005768CA">
        <w:t xml:space="preserve"> driven by technological developments and </w:t>
      </w:r>
      <w:r w:rsidR="00C06BEA">
        <w:t xml:space="preserve">trade liberalisation </w:t>
      </w:r>
      <w:r w:rsidR="005768CA">
        <w:t>initiatives</w:t>
      </w:r>
      <w:r w:rsidR="00A627EC">
        <w:t>,</w:t>
      </w:r>
      <w:r>
        <w:t xml:space="preserve"> will proceed</w:t>
      </w:r>
      <w:r w:rsidR="005768CA">
        <w:t xml:space="preserve">. While </w:t>
      </w:r>
      <w:r w:rsidR="00076761">
        <w:t>this</w:t>
      </w:r>
      <w:r w:rsidR="005768CA">
        <w:t xml:space="preserve"> offers many economic opportunities in terms of greater access to new markets, labour and investment, it also brings with it challenges such as increased international competition and a greater threat of contagion</w:t>
      </w:r>
      <w:r w:rsidR="00076761">
        <w:t xml:space="preserve"> and price volatility</w:t>
      </w:r>
      <w:r w:rsidR="005768CA">
        <w:t xml:space="preserve">. To date, Ireland and indeed the </w:t>
      </w:r>
      <w:r w:rsidR="0023209C">
        <w:t xml:space="preserve">agri-food </w:t>
      </w:r>
      <w:r w:rsidR="005768CA">
        <w:t xml:space="preserve">sector has been particularly successful in adapting to </w:t>
      </w:r>
      <w:r w:rsidR="00E25637">
        <w:t>globalisation.</w:t>
      </w:r>
      <w:r w:rsidR="00BB294B">
        <w:t xml:space="preserve"> </w:t>
      </w:r>
      <w:r w:rsidR="00927DA0">
        <w:t>However</w:t>
      </w:r>
      <w:r w:rsidR="00435270">
        <w:t>,</w:t>
      </w:r>
      <w:r w:rsidR="00927DA0">
        <w:t xml:space="preserve"> there is a need to continu</w:t>
      </w:r>
      <w:r w:rsidR="004A4D49">
        <w:t>e to improve flexibility and enhance its</w:t>
      </w:r>
      <w:r w:rsidR="00927DA0">
        <w:t xml:space="preserve"> capacity to adapt to </w:t>
      </w:r>
      <w:r w:rsidR="004A4D49">
        <w:t xml:space="preserve">future </w:t>
      </w:r>
      <w:r w:rsidR="00927DA0">
        <w:t>changes in the international environment</w:t>
      </w:r>
      <w:r w:rsidR="004A4D49">
        <w:t>.</w:t>
      </w:r>
    </w:p>
    <w:p w:rsidR="00C4185D" w:rsidRDefault="00C4185D" w:rsidP="000C41B7">
      <w:pPr>
        <w:spacing w:before="120" w:after="120" w:line="240" w:lineRule="auto"/>
        <w:jc w:val="both"/>
      </w:pPr>
    </w:p>
    <w:p w:rsidR="00435270" w:rsidRPr="007631BE" w:rsidRDefault="00435270" w:rsidP="000C41B7">
      <w:pPr>
        <w:spacing w:before="120" w:after="120" w:line="240" w:lineRule="auto"/>
        <w:jc w:val="both"/>
        <w:rPr>
          <w:b/>
          <w:i/>
        </w:rPr>
      </w:pPr>
      <w:r w:rsidRPr="007631BE">
        <w:rPr>
          <w:b/>
          <w:i/>
        </w:rPr>
        <w:t>Farm configuration</w:t>
      </w:r>
    </w:p>
    <w:p w:rsidR="00C03AEC" w:rsidRDefault="00BB294B" w:rsidP="000C41B7">
      <w:pPr>
        <w:spacing w:before="120" w:after="120" w:line="240" w:lineRule="auto"/>
        <w:jc w:val="both"/>
        <w:rPr>
          <w:b/>
          <w:i/>
        </w:rPr>
      </w:pPr>
      <w:r>
        <w:t>I</w:t>
      </w:r>
      <w:r w:rsidRPr="00BB294B">
        <w:t>n the context of a longer term strategic examination</w:t>
      </w:r>
      <w:r w:rsidR="00C133FB">
        <w:t xml:space="preserve"> of the sector</w:t>
      </w:r>
      <w:r w:rsidRPr="00BB294B">
        <w:t>,</w:t>
      </w:r>
      <w:r w:rsidR="00B93315">
        <w:t xml:space="preserve"> one of the key </w:t>
      </w:r>
      <w:r w:rsidR="00C06BEA">
        <w:t>structural issu</w:t>
      </w:r>
      <w:r w:rsidR="00EF65A1">
        <w:t xml:space="preserve">es </w:t>
      </w:r>
      <w:r w:rsidR="00B93315">
        <w:t>that</w:t>
      </w:r>
      <w:r w:rsidR="00435270">
        <w:t xml:space="preserve"> the agri-food industry should address in order to be better placed to compete in the global market</w:t>
      </w:r>
      <w:r w:rsidR="00B93315">
        <w:t xml:space="preserve"> is </w:t>
      </w:r>
      <w:r w:rsidR="00C06BEA">
        <w:t>farm size</w:t>
      </w:r>
      <w:r w:rsidR="005054AE">
        <w:t xml:space="preserve"> and fragmented holdings</w:t>
      </w:r>
      <w:r w:rsidR="00435270">
        <w:t xml:space="preserve">. </w:t>
      </w:r>
      <w:r w:rsidR="004D0AFF">
        <w:t>It</w:t>
      </w:r>
      <w:r w:rsidR="00434ED1">
        <w:t xml:space="preserve"> </w:t>
      </w:r>
      <w:r w:rsidR="004D0AFF">
        <w:t xml:space="preserve">is evident </w:t>
      </w:r>
      <w:r w:rsidR="008D089D">
        <w:t xml:space="preserve">from </w:t>
      </w:r>
      <w:r w:rsidR="00434ED1">
        <w:t>a number of the background documents</w:t>
      </w:r>
      <w:r w:rsidR="004D0AFF">
        <w:t xml:space="preserve"> that the viability of farms is an issue</w:t>
      </w:r>
      <w:r w:rsidR="00434ED1">
        <w:t>,</w:t>
      </w:r>
      <w:r w:rsidR="004D0AFF">
        <w:t xml:space="preserve"> and</w:t>
      </w:r>
      <w:r w:rsidR="00434ED1">
        <w:t xml:space="preserve"> </w:t>
      </w:r>
      <w:r w:rsidR="008D089D">
        <w:t xml:space="preserve">that </w:t>
      </w:r>
      <w:r w:rsidR="00434ED1">
        <w:t>t</w:t>
      </w:r>
      <w:r w:rsidR="00435270">
        <w:t xml:space="preserve">he </w:t>
      </w:r>
      <w:r w:rsidR="00434ED1">
        <w:t xml:space="preserve">current </w:t>
      </w:r>
      <w:r w:rsidR="00435270">
        <w:t>configuration of farms act</w:t>
      </w:r>
      <w:r w:rsidR="00434ED1">
        <w:t>s</w:t>
      </w:r>
      <w:r w:rsidR="00435270">
        <w:t xml:space="preserve"> as</w:t>
      </w:r>
      <w:r w:rsidR="005054AE">
        <w:t xml:space="preserve"> </w:t>
      </w:r>
      <w:r w:rsidR="005054AE" w:rsidRPr="005054AE">
        <w:t xml:space="preserve">a serious obstacle </w:t>
      </w:r>
      <w:r w:rsidR="005054AE" w:rsidRPr="005054AE">
        <w:lastRenderedPageBreak/>
        <w:t xml:space="preserve">to </w:t>
      </w:r>
      <w:r w:rsidR="00434ED1">
        <w:t xml:space="preserve">the realisation of </w:t>
      </w:r>
      <w:r w:rsidR="005054AE" w:rsidRPr="005054AE">
        <w:t>economies of scale and scope</w:t>
      </w:r>
      <w:r w:rsidR="00682992">
        <w:t>.</w:t>
      </w:r>
      <w:r w:rsidR="00435270">
        <w:t xml:space="preserve"> Inability to attai</w:t>
      </w:r>
      <w:r w:rsidR="00C635EC">
        <w:t>n such economies</w:t>
      </w:r>
      <w:r w:rsidR="00435270">
        <w:t xml:space="preserve"> limits </w:t>
      </w:r>
      <w:r w:rsidR="00C635EC">
        <w:t>producers</w:t>
      </w:r>
      <w:r w:rsidR="00434ED1">
        <w:t>’</w:t>
      </w:r>
      <w:r w:rsidR="00435270">
        <w:t xml:space="preserve"> ability to improve productivity </w:t>
      </w:r>
      <w:r w:rsidR="00C635EC">
        <w:t>and competitiveness.</w:t>
      </w:r>
      <w:r w:rsidR="00682992">
        <w:t xml:space="preserve"> </w:t>
      </w:r>
    </w:p>
    <w:p w:rsidR="001E32C8" w:rsidRDefault="001E32C8" w:rsidP="000C41B7">
      <w:pPr>
        <w:spacing w:before="120" w:after="120" w:line="240" w:lineRule="auto"/>
        <w:jc w:val="both"/>
        <w:rPr>
          <w:b/>
          <w:i/>
        </w:rPr>
      </w:pPr>
    </w:p>
    <w:p w:rsidR="005C2570" w:rsidRPr="007631BE" w:rsidRDefault="00FC2AC9" w:rsidP="000C41B7">
      <w:pPr>
        <w:spacing w:before="120" w:after="120" w:line="240" w:lineRule="auto"/>
        <w:jc w:val="both"/>
        <w:rPr>
          <w:b/>
          <w:i/>
        </w:rPr>
      </w:pPr>
      <w:r w:rsidRPr="007631BE">
        <w:rPr>
          <w:b/>
          <w:i/>
        </w:rPr>
        <w:t>Export diversification</w:t>
      </w:r>
    </w:p>
    <w:p w:rsidR="00C635EC" w:rsidRDefault="00C635EC" w:rsidP="000C41B7">
      <w:pPr>
        <w:spacing w:before="120" w:after="120" w:line="240" w:lineRule="auto"/>
        <w:jc w:val="both"/>
      </w:pPr>
      <w:r>
        <w:t xml:space="preserve">Regarding agri-food industry’s engagement in the global market, </w:t>
      </w:r>
      <w:r w:rsidR="00110269">
        <w:t>there is</w:t>
      </w:r>
      <w:r>
        <w:t xml:space="preserve"> significant</w:t>
      </w:r>
      <w:r w:rsidR="00110269">
        <w:t xml:space="preserve"> merit in seeking to diversify exports both in terms of destinations and products</w:t>
      </w:r>
      <w:r>
        <w:t xml:space="preserve"> from an economic stability perspective</w:t>
      </w:r>
      <w:r w:rsidR="00110269">
        <w:t xml:space="preserve">. This is especially relevant </w:t>
      </w:r>
      <w:r w:rsidR="00C03AEC">
        <w:t xml:space="preserve">in the context of </w:t>
      </w:r>
      <w:r w:rsidR="00110269">
        <w:t xml:space="preserve">Ireland’s trade relationship with the UK, where for historical and geographical reasons, a large proportion of Irish goods and services are exported to. </w:t>
      </w:r>
    </w:p>
    <w:p w:rsidR="00C635EC" w:rsidRDefault="00110269" w:rsidP="000C41B7">
      <w:pPr>
        <w:spacing w:before="120" w:after="120" w:line="240" w:lineRule="auto"/>
        <w:jc w:val="both"/>
      </w:pPr>
      <w:r>
        <w:t xml:space="preserve">Export diversification </w:t>
      </w:r>
      <w:r w:rsidR="006B356B">
        <w:t xml:space="preserve">is possible to the extent that </w:t>
      </w:r>
      <w:r>
        <w:t xml:space="preserve">producers </w:t>
      </w:r>
      <w:r w:rsidR="006B356B">
        <w:t>can inc</w:t>
      </w:r>
      <w:r>
        <w:t xml:space="preserve">rease productivity to overcome </w:t>
      </w:r>
      <w:r w:rsidR="00434ED1">
        <w:t xml:space="preserve">the </w:t>
      </w:r>
      <w:r>
        <w:t xml:space="preserve">higher entry costs </w:t>
      </w:r>
      <w:r w:rsidR="00434ED1">
        <w:t xml:space="preserve">associated with </w:t>
      </w:r>
      <w:r>
        <w:t xml:space="preserve">more distant markets. However, the </w:t>
      </w:r>
      <w:r w:rsidR="0090038A">
        <w:t xml:space="preserve">scope for </w:t>
      </w:r>
      <w:r w:rsidR="00FE1B85">
        <w:t>producer</w:t>
      </w:r>
      <w:r w:rsidR="007E5A91">
        <w:t>s to</w:t>
      </w:r>
      <w:r w:rsidR="0090038A">
        <w:t xml:space="preserve"> </w:t>
      </w:r>
      <w:r w:rsidR="007E5A91">
        <w:t>enhance</w:t>
      </w:r>
      <w:r w:rsidR="00606429">
        <w:t xml:space="preserve"> their </w:t>
      </w:r>
      <w:r w:rsidR="00D47B63">
        <w:t xml:space="preserve">productivity and </w:t>
      </w:r>
      <w:r w:rsidR="007E5A91">
        <w:t xml:space="preserve">production capacity and </w:t>
      </w:r>
      <w:r w:rsidR="0090038A">
        <w:t>expand their destination market base will vary by enterprise and product and will depend on the relevant global value chains.</w:t>
      </w:r>
      <w:r w:rsidR="00780461">
        <w:t xml:space="preserve"> </w:t>
      </w:r>
      <w:r w:rsidR="00141A09">
        <w:t>Differences also likely to</w:t>
      </w:r>
      <w:r w:rsidR="00594C4F">
        <w:t xml:space="preserve"> exist in the type of</w:t>
      </w:r>
      <w:r w:rsidR="00D47B63">
        <w:t xml:space="preserve"> trade</w:t>
      </w:r>
      <w:r w:rsidR="00594C4F">
        <w:t xml:space="preserve"> barriers face</w:t>
      </w:r>
      <w:r w:rsidR="00C635EC">
        <w:t>d</w:t>
      </w:r>
      <w:r w:rsidR="00594C4F">
        <w:t xml:space="preserve"> by producers in the sector.</w:t>
      </w:r>
    </w:p>
    <w:p w:rsidR="00AF2458" w:rsidRDefault="00594C4F" w:rsidP="000C41B7">
      <w:pPr>
        <w:spacing w:before="120" w:after="120" w:line="240" w:lineRule="auto"/>
        <w:jc w:val="both"/>
      </w:pPr>
      <w:r>
        <w:t>To address these barriers and improve export performance, t</w:t>
      </w:r>
      <w:r w:rsidR="00955F40">
        <w:t xml:space="preserve">here is a need </w:t>
      </w:r>
      <w:r w:rsidR="00AB4D9C">
        <w:t xml:space="preserve">to </w:t>
      </w:r>
      <w:r w:rsidR="00FE1B85">
        <w:t>ensure an appropriate framework is in place to allow for</w:t>
      </w:r>
      <w:r w:rsidR="00291C43">
        <w:t xml:space="preserve"> </w:t>
      </w:r>
      <w:r w:rsidR="00FE1B85">
        <w:t>engagement</w:t>
      </w:r>
      <w:r w:rsidR="00955F40">
        <w:t xml:space="preserve"> with </w:t>
      </w:r>
      <w:r w:rsidR="00FE1B85">
        <w:t>producer</w:t>
      </w:r>
      <w:r w:rsidR="00291C43">
        <w:t>s</w:t>
      </w:r>
      <w:r w:rsidR="00FE1B85">
        <w:t xml:space="preserve"> so that evolving constraints are highlighted</w:t>
      </w:r>
      <w:r w:rsidR="007E5A91">
        <w:t xml:space="preserve"> and</w:t>
      </w:r>
      <w:r w:rsidR="00FE1B85">
        <w:t xml:space="preserve"> tackled appropriately.</w:t>
      </w:r>
      <w:r w:rsidR="001444B6">
        <w:t xml:space="preserve"> </w:t>
      </w:r>
      <w:r w:rsidR="00110269">
        <w:t xml:space="preserve">In addition, </w:t>
      </w:r>
      <w:r>
        <w:t xml:space="preserve">greater innovation by producers should lead to higher productivity and support higher levels </w:t>
      </w:r>
      <w:r w:rsidR="00D47B63">
        <w:t>of exporting activity</w:t>
      </w:r>
      <w:r>
        <w:t xml:space="preserve">. </w:t>
      </w:r>
      <w:r w:rsidR="00D47B63">
        <w:t xml:space="preserve">As well </w:t>
      </w:r>
      <w:r w:rsidR="00C03AEC">
        <w:t xml:space="preserve">as </w:t>
      </w:r>
      <w:r w:rsidR="00D47B63">
        <w:t>supporting export</w:t>
      </w:r>
      <w:r w:rsidR="00D47B63" w:rsidRPr="00D47B63">
        <w:t xml:space="preserve"> </w:t>
      </w:r>
      <w:r w:rsidR="00D47B63">
        <w:t xml:space="preserve">diversification, </w:t>
      </w:r>
      <w:r w:rsidR="00434ED1">
        <w:t xml:space="preserve">such a framework </w:t>
      </w:r>
      <w:r w:rsidR="00110269">
        <w:t xml:space="preserve">would place </w:t>
      </w:r>
      <w:r w:rsidR="00D47B63">
        <w:t xml:space="preserve">the </w:t>
      </w:r>
      <w:r w:rsidR="00110269">
        <w:t xml:space="preserve">agri-food sector in a better position to compete in the global market </w:t>
      </w:r>
      <w:r w:rsidR="00D47B63">
        <w:t xml:space="preserve">and </w:t>
      </w:r>
      <w:r w:rsidR="00784624">
        <w:t>provide producers with</w:t>
      </w:r>
      <w:r w:rsidR="00D47B63">
        <w:t xml:space="preserve"> </w:t>
      </w:r>
      <w:r w:rsidR="00784624">
        <w:t xml:space="preserve">opportunities to </w:t>
      </w:r>
      <w:r w:rsidR="00D47B63">
        <w:t xml:space="preserve">enter </w:t>
      </w:r>
      <w:r w:rsidR="00784624">
        <w:t>more distant</w:t>
      </w:r>
      <w:r w:rsidR="00860E75">
        <w:t>,</w:t>
      </w:r>
      <w:r w:rsidR="00784624">
        <w:t xml:space="preserve"> </w:t>
      </w:r>
      <w:r w:rsidR="00D47B63">
        <w:t xml:space="preserve">rapidly growing economies </w:t>
      </w:r>
      <w:r w:rsidR="00110269">
        <w:t>over the next decade.</w:t>
      </w:r>
    </w:p>
    <w:p w:rsidR="00C4185D" w:rsidRDefault="00C4185D" w:rsidP="000C41B7">
      <w:pPr>
        <w:spacing w:before="120" w:after="120" w:line="240" w:lineRule="auto"/>
        <w:jc w:val="both"/>
        <w:rPr>
          <w:b/>
        </w:rPr>
      </w:pPr>
    </w:p>
    <w:p w:rsidR="00FC2AC9" w:rsidRPr="00AF2458" w:rsidRDefault="00FC2AC9" w:rsidP="000C41B7">
      <w:pPr>
        <w:spacing w:before="120" w:after="120" w:line="240" w:lineRule="auto"/>
        <w:jc w:val="both"/>
        <w:rPr>
          <w:b/>
          <w:i/>
        </w:rPr>
      </w:pPr>
      <w:r w:rsidRPr="00AF2458">
        <w:rPr>
          <w:b/>
          <w:i/>
        </w:rPr>
        <w:t>Foreign direct investment</w:t>
      </w:r>
    </w:p>
    <w:p w:rsidR="00964C0A" w:rsidRDefault="00FC2AC9" w:rsidP="000C41B7">
      <w:pPr>
        <w:spacing w:before="120" w:after="120" w:line="240" w:lineRule="auto"/>
        <w:jc w:val="both"/>
      </w:pPr>
      <w:r>
        <w:t>I</w:t>
      </w:r>
      <w:r w:rsidR="00CA07C2">
        <w:t xml:space="preserve">nternational investment in our </w:t>
      </w:r>
      <w:r w:rsidR="0023209C">
        <w:t xml:space="preserve">agri-food </w:t>
      </w:r>
      <w:r w:rsidR="00927DA0">
        <w:t>sector</w:t>
      </w:r>
      <w:r w:rsidR="00CA07C2">
        <w:t xml:space="preserve"> should be encouraged</w:t>
      </w:r>
      <w:r w:rsidR="0090038A">
        <w:t xml:space="preserve"> where </w:t>
      </w:r>
      <w:r w:rsidR="00CA07C2">
        <w:t>benefits</w:t>
      </w:r>
      <w:r w:rsidR="00DF285A">
        <w:t xml:space="preserve"> can</w:t>
      </w:r>
      <w:r w:rsidR="00CA07C2">
        <w:t xml:space="preserve"> accrue to the economy </w:t>
      </w:r>
      <w:r w:rsidR="00DF285A">
        <w:t xml:space="preserve">directly </w:t>
      </w:r>
      <w:r w:rsidR="009B3920">
        <w:t>through capital formation and</w:t>
      </w:r>
      <w:r w:rsidR="00CA07C2">
        <w:t xml:space="preserve"> employment, </w:t>
      </w:r>
      <w:r w:rsidR="00DF285A">
        <w:t xml:space="preserve">and </w:t>
      </w:r>
      <w:r w:rsidR="00CA07C2">
        <w:t>also</w:t>
      </w:r>
      <w:r w:rsidR="00DF285A">
        <w:t xml:space="preserve"> indirectly through</w:t>
      </w:r>
      <w:r w:rsidR="00974102">
        <w:t xml:space="preserve"> the transfer</w:t>
      </w:r>
      <w:r>
        <w:t>/spillovers</w:t>
      </w:r>
      <w:r w:rsidR="00974102">
        <w:t xml:space="preserve"> of managerial and organisational knowledge from foreign</w:t>
      </w:r>
      <w:r w:rsidR="009B3920">
        <w:t xml:space="preserve"> firm</w:t>
      </w:r>
      <w:r w:rsidR="00242313">
        <w:t>s</w:t>
      </w:r>
      <w:r w:rsidR="009B3920">
        <w:t xml:space="preserve"> to</w:t>
      </w:r>
      <w:r>
        <w:t xml:space="preserve"> </w:t>
      </w:r>
      <w:r w:rsidR="00974102">
        <w:t xml:space="preserve">indigenous firms. </w:t>
      </w:r>
      <w:r w:rsidR="00242313">
        <w:t>Furthermore, t</w:t>
      </w:r>
      <w:r w:rsidR="00974102">
        <w:t xml:space="preserve">he presence of foreign multinational companies increases the opportunities for indigenous firms to access both intra-sectoral and inter-sectoral supply chain networks. </w:t>
      </w:r>
      <w:r w:rsidR="00964C0A">
        <w:t xml:space="preserve">It is also important to point out that outward FDI by producers in the Agri Food sector has also had significant positive benefits for the Irish economy. </w:t>
      </w:r>
    </w:p>
    <w:p w:rsidR="00927DA0" w:rsidRDefault="00974102" w:rsidP="000C41B7">
      <w:pPr>
        <w:pStyle w:val="Default"/>
        <w:spacing w:before="120" w:after="120"/>
        <w:jc w:val="both"/>
        <w:rPr>
          <w:rFonts w:asciiTheme="minorHAnsi" w:hAnsiTheme="minorHAnsi" w:cstheme="minorBidi"/>
          <w:color w:val="auto"/>
          <w:sz w:val="22"/>
          <w:szCs w:val="22"/>
        </w:rPr>
      </w:pPr>
      <w:r w:rsidRPr="004A4D49">
        <w:rPr>
          <w:rFonts w:asciiTheme="minorHAnsi" w:hAnsiTheme="minorHAnsi" w:cstheme="minorBidi"/>
          <w:color w:val="auto"/>
          <w:sz w:val="22"/>
          <w:szCs w:val="22"/>
        </w:rPr>
        <w:t>The development of strategic alliances with partne</w:t>
      </w:r>
      <w:r w:rsidR="005D4887" w:rsidRPr="004A4D49">
        <w:rPr>
          <w:rFonts w:asciiTheme="minorHAnsi" w:hAnsiTheme="minorHAnsi" w:cstheme="minorBidi"/>
          <w:color w:val="auto"/>
          <w:sz w:val="22"/>
          <w:szCs w:val="22"/>
        </w:rPr>
        <w:t>rs in rapidly growing markets provide</w:t>
      </w:r>
      <w:r w:rsidRPr="004A4D49">
        <w:rPr>
          <w:rFonts w:asciiTheme="minorHAnsi" w:hAnsiTheme="minorHAnsi" w:cstheme="minorBidi"/>
          <w:color w:val="auto"/>
          <w:sz w:val="22"/>
          <w:szCs w:val="22"/>
        </w:rPr>
        <w:t xml:space="preserve"> additional channels through which indigenous firms can expa</w:t>
      </w:r>
      <w:r w:rsidR="00927DA0" w:rsidRPr="004A4D49">
        <w:rPr>
          <w:rFonts w:asciiTheme="minorHAnsi" w:hAnsiTheme="minorHAnsi" w:cstheme="minorBidi"/>
          <w:color w:val="auto"/>
          <w:sz w:val="22"/>
          <w:szCs w:val="22"/>
        </w:rPr>
        <w:t xml:space="preserve">nd. Such an investment strategy </w:t>
      </w:r>
      <w:r w:rsidRPr="004A4D49">
        <w:rPr>
          <w:rFonts w:asciiTheme="minorHAnsi" w:hAnsiTheme="minorHAnsi" w:cstheme="minorBidi"/>
          <w:color w:val="auto"/>
          <w:sz w:val="22"/>
          <w:szCs w:val="22"/>
        </w:rPr>
        <w:t>should reduce the costs of acc</w:t>
      </w:r>
      <w:r w:rsidR="009B3920" w:rsidRPr="004A4D49">
        <w:rPr>
          <w:rFonts w:asciiTheme="minorHAnsi" w:hAnsiTheme="minorHAnsi" w:cstheme="minorBidi"/>
          <w:color w:val="auto"/>
          <w:sz w:val="22"/>
          <w:szCs w:val="22"/>
        </w:rPr>
        <w:t>essing rapidly growing markets</w:t>
      </w:r>
      <w:r w:rsidR="00927DA0" w:rsidRPr="004A4D49">
        <w:rPr>
          <w:rFonts w:asciiTheme="minorHAnsi" w:hAnsiTheme="minorHAnsi" w:cstheme="minorBidi"/>
          <w:color w:val="auto"/>
          <w:sz w:val="22"/>
          <w:szCs w:val="22"/>
        </w:rPr>
        <w:t xml:space="preserve">. </w:t>
      </w:r>
    </w:p>
    <w:p w:rsidR="000E11FF" w:rsidRDefault="000E11FF" w:rsidP="000C41B7">
      <w:pPr>
        <w:pStyle w:val="Default"/>
        <w:spacing w:before="120" w:after="120"/>
        <w:jc w:val="both"/>
        <w:rPr>
          <w:rFonts w:asciiTheme="minorHAnsi" w:hAnsiTheme="minorHAnsi" w:cstheme="minorBidi"/>
          <w:color w:val="auto"/>
          <w:sz w:val="22"/>
          <w:szCs w:val="22"/>
        </w:rPr>
      </w:pPr>
    </w:p>
    <w:p w:rsidR="009B3920" w:rsidRPr="00FC2AC9" w:rsidRDefault="006C4A2A" w:rsidP="000C41B7">
      <w:pPr>
        <w:spacing w:before="120" w:after="120" w:line="240" w:lineRule="auto"/>
        <w:jc w:val="both"/>
        <w:rPr>
          <w:b/>
          <w:sz w:val="28"/>
          <w:szCs w:val="28"/>
        </w:rPr>
      </w:pPr>
      <w:r w:rsidRPr="00FC2AC9">
        <w:rPr>
          <w:b/>
          <w:sz w:val="28"/>
          <w:szCs w:val="28"/>
        </w:rPr>
        <w:t>Competitiveness</w:t>
      </w:r>
      <w:r w:rsidR="009726C2">
        <w:rPr>
          <w:b/>
          <w:sz w:val="28"/>
          <w:szCs w:val="28"/>
        </w:rPr>
        <w:t xml:space="preserve"> and i</w:t>
      </w:r>
      <w:r w:rsidR="001F1006" w:rsidRPr="00FC2AC9">
        <w:rPr>
          <w:b/>
          <w:sz w:val="28"/>
          <w:szCs w:val="28"/>
        </w:rPr>
        <w:t>nnovation</w:t>
      </w:r>
    </w:p>
    <w:p w:rsidR="0088435B" w:rsidRDefault="00F61694" w:rsidP="000C41B7">
      <w:pPr>
        <w:shd w:val="clear" w:color="auto" w:fill="FFFFFF"/>
        <w:spacing w:before="120" w:after="120" w:line="240" w:lineRule="auto"/>
        <w:jc w:val="both"/>
      </w:pPr>
      <w:r w:rsidRPr="00F61694">
        <w:t xml:space="preserve">In order to improve </w:t>
      </w:r>
      <w:r w:rsidR="00434ED1">
        <w:t xml:space="preserve">the </w:t>
      </w:r>
      <w:r w:rsidRPr="00F61694">
        <w:t xml:space="preserve">competitiveness of the </w:t>
      </w:r>
      <w:r w:rsidR="0023209C">
        <w:t xml:space="preserve">agri-food </w:t>
      </w:r>
      <w:r w:rsidRPr="00F61694">
        <w:t xml:space="preserve">sector and increase its market share on the international </w:t>
      </w:r>
      <w:r w:rsidR="00232A45" w:rsidRPr="00232A45">
        <w:t>food market, the industry will need to</w:t>
      </w:r>
      <w:r w:rsidRPr="00F61694">
        <w:t xml:space="preserve"> continue to improve productivity and reduce costs</w:t>
      </w:r>
      <w:r w:rsidRPr="00232A45">
        <w:t xml:space="preserve"> over the next ten years</w:t>
      </w:r>
      <w:r w:rsidRPr="00F61694">
        <w:t xml:space="preserve">. Research, development and innovation </w:t>
      </w:r>
      <w:r w:rsidR="00434ED1">
        <w:t xml:space="preserve">can potentially </w:t>
      </w:r>
      <w:r w:rsidRPr="00F61694">
        <w:t>play a role in increasing productivity through the introduction of new products and processes, organisational or marketing changes.</w:t>
      </w:r>
      <w:r w:rsidRPr="00232A45">
        <w:t> </w:t>
      </w:r>
    </w:p>
    <w:p w:rsidR="00C4185D" w:rsidRDefault="00C4185D" w:rsidP="000C41B7">
      <w:pPr>
        <w:shd w:val="clear" w:color="auto" w:fill="FFFFFF"/>
        <w:spacing w:before="120" w:after="120" w:line="240" w:lineRule="auto"/>
        <w:jc w:val="both"/>
        <w:rPr>
          <w:rFonts w:ascii="Arial" w:eastAsia="Times New Roman" w:hAnsi="Arial" w:cs="Arial"/>
          <w:color w:val="222222"/>
          <w:sz w:val="20"/>
          <w:szCs w:val="20"/>
          <w:lang w:eastAsia="en-IE"/>
        </w:rPr>
      </w:pPr>
    </w:p>
    <w:p w:rsidR="00FC2AC9" w:rsidRPr="007631BE" w:rsidRDefault="009726C2" w:rsidP="000C41B7">
      <w:pPr>
        <w:shd w:val="clear" w:color="auto" w:fill="FFFFFF"/>
        <w:spacing w:before="120" w:after="120" w:line="240" w:lineRule="auto"/>
        <w:jc w:val="both"/>
        <w:rPr>
          <w:rFonts w:ascii="Arial" w:eastAsia="Times New Roman" w:hAnsi="Arial" w:cs="Arial"/>
          <w:b/>
          <w:i/>
          <w:color w:val="222222"/>
          <w:sz w:val="20"/>
          <w:szCs w:val="20"/>
          <w:lang w:eastAsia="en-IE"/>
        </w:rPr>
      </w:pPr>
      <w:r w:rsidRPr="007631BE">
        <w:rPr>
          <w:rFonts w:ascii="Arial" w:eastAsia="Times New Roman" w:hAnsi="Arial" w:cs="Arial"/>
          <w:b/>
          <w:i/>
          <w:color w:val="222222"/>
          <w:sz w:val="20"/>
          <w:szCs w:val="20"/>
          <w:lang w:eastAsia="en-IE"/>
        </w:rPr>
        <w:t>Evaluation of public funding support</w:t>
      </w:r>
    </w:p>
    <w:p w:rsidR="005F4D24" w:rsidRDefault="00232A45" w:rsidP="00AB5D0A">
      <w:pPr>
        <w:autoSpaceDE w:val="0"/>
        <w:autoSpaceDN w:val="0"/>
        <w:adjustRightInd w:val="0"/>
        <w:spacing w:before="120" w:after="120" w:line="240" w:lineRule="auto"/>
        <w:jc w:val="both"/>
      </w:pPr>
      <w:r w:rsidRPr="00C21CA8">
        <w:t>Public funding of research, in particular</w:t>
      </w:r>
      <w:r w:rsidR="002E4FA6" w:rsidRPr="00C21CA8">
        <w:t xml:space="preserve"> primary research</w:t>
      </w:r>
      <w:r w:rsidRPr="00C21CA8">
        <w:t xml:space="preserve">, is seen as </w:t>
      </w:r>
      <w:r w:rsidR="002E4FA6" w:rsidRPr="00C21CA8">
        <w:t xml:space="preserve">an </w:t>
      </w:r>
      <w:r w:rsidRPr="00C21CA8">
        <w:t xml:space="preserve">important contributor to research </w:t>
      </w:r>
      <w:r w:rsidR="00C271D5" w:rsidRPr="00C21CA8">
        <w:t>activity</w:t>
      </w:r>
      <w:r w:rsidRPr="00C21CA8">
        <w:t xml:space="preserve"> in Ireland. Such investment is justified on the basis th</w:t>
      </w:r>
      <w:r w:rsidR="002E4FA6" w:rsidRPr="00C21CA8">
        <w:t>at it supports</w:t>
      </w:r>
      <w:r w:rsidRPr="00C21CA8">
        <w:t xml:space="preserve"> research which is often characterised as a </w:t>
      </w:r>
      <w:r w:rsidR="008D089D">
        <w:t>“p</w:t>
      </w:r>
      <w:r w:rsidRPr="00C21CA8">
        <w:t xml:space="preserve">ublic </w:t>
      </w:r>
      <w:r w:rsidR="008D089D">
        <w:t>g</w:t>
      </w:r>
      <w:r w:rsidRPr="00C21CA8">
        <w:t>ood</w:t>
      </w:r>
      <w:r w:rsidR="008D089D">
        <w:t>”</w:t>
      </w:r>
      <w:r w:rsidRPr="00C21CA8">
        <w:t>, whereby due to positive externalities, the private level of investment is less than what is considered social</w:t>
      </w:r>
      <w:r w:rsidR="00C173C5" w:rsidRPr="00C21CA8">
        <w:t>ly</w:t>
      </w:r>
      <w:r w:rsidRPr="00C21CA8">
        <w:t xml:space="preserve"> optimal. </w:t>
      </w:r>
      <w:r w:rsidR="00C271D5" w:rsidRPr="00C21CA8">
        <w:t xml:space="preserve">However, </w:t>
      </w:r>
      <w:r w:rsidR="002E4FA6" w:rsidRPr="00C21CA8">
        <w:t xml:space="preserve">it is important to point out that </w:t>
      </w:r>
      <w:r w:rsidR="002E4FA6" w:rsidRPr="00C21CA8">
        <w:lastRenderedPageBreak/>
        <w:t>government intervention should be only be justified to address</w:t>
      </w:r>
      <w:r w:rsidR="00FC2AC9" w:rsidRPr="00C21CA8">
        <w:t xml:space="preserve"> such market failures where the </w:t>
      </w:r>
      <w:r w:rsidR="002E4FA6" w:rsidRPr="00C21CA8">
        <w:t xml:space="preserve">benefits exceed the direct and indirect costs of intervention. </w:t>
      </w:r>
      <w:r w:rsidR="00C173C5" w:rsidRPr="00C21CA8">
        <w:t xml:space="preserve">In the current economic environment </w:t>
      </w:r>
      <w:r w:rsidR="00434ED1">
        <w:t xml:space="preserve">of </w:t>
      </w:r>
      <w:r w:rsidR="00C173C5" w:rsidRPr="00C21CA8">
        <w:t>limited resources, there is a clear need to continue with the targeted prioritised approach to R&amp;D funding as set out by the National Research Prioritisation Exercise</w:t>
      </w:r>
      <w:r w:rsidR="00C271D5" w:rsidRPr="00C21CA8">
        <w:t>. W</w:t>
      </w:r>
      <w:r w:rsidR="00C173C5" w:rsidRPr="00C21CA8">
        <w:t xml:space="preserve">e welcome the focus on the need to translate research into quantifiable innovative output in order to ensure value for money. </w:t>
      </w:r>
      <w:r w:rsidR="00090BC0" w:rsidRPr="00C21CA8">
        <w:t>Furthermore, when</w:t>
      </w:r>
      <w:r w:rsidR="00C271D5" w:rsidRPr="00C21CA8">
        <w:t xml:space="preserve"> considering future innovation supports</w:t>
      </w:r>
      <w:r w:rsidR="008D089D">
        <w:t>,</w:t>
      </w:r>
      <w:r w:rsidR="00C271D5" w:rsidRPr="00C21CA8">
        <w:t xml:space="preserve"> we advocate that such interventions</w:t>
      </w:r>
      <w:r w:rsidR="00AB5D0A">
        <w:t xml:space="preserve"> are based on rigorous analysis</w:t>
      </w:r>
      <w:r w:rsidR="00566D80">
        <w:t xml:space="preserve"> using the </w:t>
      </w:r>
      <w:r w:rsidR="00C271D5" w:rsidRPr="00C21CA8">
        <w:t>approach</w:t>
      </w:r>
      <w:r w:rsidR="00434ED1">
        <w:t xml:space="preserve">es outlined in </w:t>
      </w:r>
      <w:r w:rsidR="00434ED1">
        <w:rPr>
          <w:i/>
        </w:rPr>
        <w:t xml:space="preserve">Public Spending Code </w:t>
      </w:r>
      <w:r w:rsidR="00434ED1">
        <w:t xml:space="preserve">(and, in the case of tax expenditures, those set out </w:t>
      </w:r>
      <w:r w:rsidR="00C271D5" w:rsidRPr="00C21CA8">
        <w:t>in the</w:t>
      </w:r>
      <w:r w:rsidR="00C21CA8" w:rsidRPr="00C21CA8">
        <w:t xml:space="preserve"> Department of Finance</w:t>
      </w:r>
      <w:r w:rsidR="00434ED1">
        <w:t>’s</w:t>
      </w:r>
      <w:r w:rsidR="00C21CA8" w:rsidRPr="00C21CA8">
        <w:t xml:space="preserve"> </w:t>
      </w:r>
      <w:r w:rsidR="00C21CA8" w:rsidRPr="00434ED1">
        <w:rPr>
          <w:i/>
        </w:rPr>
        <w:t>Guidelines for Tax Expenditure Evaluation</w:t>
      </w:r>
      <w:r w:rsidR="00566D80">
        <w:rPr>
          <w:rStyle w:val="FootnoteReference"/>
        </w:rPr>
        <w:footnoteReference w:id="1"/>
      </w:r>
      <w:r w:rsidR="00434ED1">
        <w:t xml:space="preserve">). </w:t>
      </w:r>
    </w:p>
    <w:p w:rsidR="00C4185D" w:rsidRPr="00C21CA8" w:rsidRDefault="00C4185D" w:rsidP="00AB5D0A">
      <w:pPr>
        <w:autoSpaceDE w:val="0"/>
        <w:autoSpaceDN w:val="0"/>
        <w:adjustRightInd w:val="0"/>
        <w:spacing w:before="120" w:after="120" w:line="240" w:lineRule="auto"/>
        <w:jc w:val="both"/>
      </w:pPr>
    </w:p>
    <w:p w:rsidR="00400236" w:rsidRPr="007631BE" w:rsidRDefault="00400236" w:rsidP="000C41B7">
      <w:pPr>
        <w:autoSpaceDE w:val="0"/>
        <w:autoSpaceDN w:val="0"/>
        <w:adjustRightInd w:val="0"/>
        <w:spacing w:before="120" w:after="120" w:line="240" w:lineRule="auto"/>
        <w:jc w:val="both"/>
        <w:rPr>
          <w:b/>
          <w:i/>
        </w:rPr>
      </w:pPr>
      <w:r w:rsidRPr="007631BE">
        <w:rPr>
          <w:rFonts w:ascii="Calibri" w:hAnsi="Calibri" w:cs="Calibri"/>
          <w:b/>
          <w:i/>
        </w:rPr>
        <w:t>RD&amp;I investment and collaboration</w:t>
      </w:r>
    </w:p>
    <w:p w:rsidR="00303B71" w:rsidRDefault="0088435B" w:rsidP="000C41B7">
      <w:pPr>
        <w:autoSpaceDE w:val="0"/>
        <w:autoSpaceDN w:val="0"/>
        <w:adjustRightInd w:val="0"/>
        <w:spacing w:before="120" w:after="120" w:line="240" w:lineRule="auto"/>
        <w:jc w:val="both"/>
      </w:pPr>
      <w:r>
        <w:rPr>
          <w:rFonts w:ascii="Calibri" w:hAnsi="Calibri" w:cs="Calibri"/>
        </w:rPr>
        <w:t>Innovation occurs not only within the firm but also through collaboration with other</w:t>
      </w:r>
      <w:r w:rsidR="00DA2147">
        <w:rPr>
          <w:rFonts w:ascii="Calibri" w:hAnsi="Calibri" w:cs="Calibri"/>
        </w:rPr>
        <w:t xml:space="preserve"> suppliers,</w:t>
      </w:r>
      <w:r>
        <w:rPr>
          <w:rFonts w:ascii="Calibri" w:hAnsi="Calibri" w:cs="Calibri"/>
        </w:rPr>
        <w:t xml:space="preserve"> customers</w:t>
      </w:r>
      <w:r w:rsidR="00DA2147">
        <w:rPr>
          <w:rFonts w:ascii="Calibri" w:hAnsi="Calibri" w:cs="Calibri"/>
        </w:rPr>
        <w:t xml:space="preserve"> and educational/research institutions</w:t>
      </w:r>
      <w:r>
        <w:rPr>
          <w:rFonts w:ascii="Calibri" w:hAnsi="Calibri" w:cs="Calibri"/>
        </w:rPr>
        <w:t xml:space="preserve"> and also across international borders. However, as discussed in the background document</w:t>
      </w:r>
      <w:r w:rsidR="00090BC0">
        <w:rPr>
          <w:rFonts w:ascii="Calibri" w:hAnsi="Calibri" w:cs="Calibri"/>
        </w:rPr>
        <w:t xml:space="preserve"> on</w:t>
      </w:r>
      <w:r w:rsidR="00090BC0" w:rsidRPr="00090BC0">
        <w:rPr>
          <w:rFonts w:ascii="Calibri" w:hAnsi="Calibri" w:cs="Calibri"/>
        </w:rPr>
        <w:t xml:space="preserve"> </w:t>
      </w:r>
      <w:r w:rsidR="00090BC0">
        <w:rPr>
          <w:rFonts w:ascii="Calibri" w:hAnsi="Calibri" w:cs="Calibri"/>
        </w:rPr>
        <w:t>Research and Innovation,</w:t>
      </w:r>
      <w:r>
        <w:rPr>
          <w:rFonts w:ascii="Calibri" w:hAnsi="Calibri" w:cs="Calibri"/>
        </w:rPr>
        <w:t xml:space="preserve"> there is relatively low investment and collaborative involvement in research and innovation </w:t>
      </w:r>
      <w:r w:rsidR="00DA2147">
        <w:rPr>
          <w:rFonts w:ascii="Calibri" w:hAnsi="Calibri" w:cs="Calibri"/>
        </w:rPr>
        <w:t>by</w:t>
      </w:r>
      <w:r>
        <w:rPr>
          <w:rFonts w:ascii="Calibri" w:hAnsi="Calibri" w:cs="Calibri"/>
        </w:rPr>
        <w:t xml:space="preserve"> firms</w:t>
      </w:r>
      <w:r w:rsidR="00E348C1">
        <w:rPr>
          <w:rFonts w:ascii="Calibri" w:hAnsi="Calibri" w:cs="Calibri"/>
        </w:rPr>
        <w:t>/producers</w:t>
      </w:r>
      <w:r>
        <w:rPr>
          <w:rFonts w:ascii="Calibri" w:hAnsi="Calibri" w:cs="Calibri"/>
        </w:rPr>
        <w:t xml:space="preserve"> in the industry. </w:t>
      </w:r>
      <w:r w:rsidR="00DA2147">
        <w:rPr>
          <w:rFonts w:ascii="Calibri" w:hAnsi="Calibri" w:cs="Calibri"/>
        </w:rPr>
        <w:t xml:space="preserve">A key challenge the </w:t>
      </w:r>
      <w:r w:rsidR="0023209C">
        <w:rPr>
          <w:rFonts w:ascii="Calibri" w:hAnsi="Calibri" w:cs="Calibri"/>
        </w:rPr>
        <w:t xml:space="preserve">agri-food </w:t>
      </w:r>
      <w:r w:rsidR="00DA2147">
        <w:rPr>
          <w:rFonts w:ascii="Calibri" w:hAnsi="Calibri" w:cs="Calibri"/>
        </w:rPr>
        <w:t>industry faces is to tackle the barriers that deter</w:t>
      </w:r>
      <w:r w:rsidR="00232A45">
        <w:rPr>
          <w:rFonts w:ascii="Calibri" w:hAnsi="Calibri" w:cs="Calibri"/>
        </w:rPr>
        <w:t xml:space="preserve"> private</w:t>
      </w:r>
      <w:r w:rsidR="00DA2147">
        <w:rPr>
          <w:rFonts w:ascii="Calibri" w:hAnsi="Calibri" w:cs="Calibri"/>
        </w:rPr>
        <w:t xml:space="preserve"> RD&amp;I investment and collaboration.</w:t>
      </w:r>
      <w:r w:rsidR="00024D17">
        <w:rPr>
          <w:rFonts w:ascii="Calibri" w:hAnsi="Calibri" w:cs="Calibri"/>
        </w:rPr>
        <w:t xml:space="preserve"> As the background document notes</w:t>
      </w:r>
      <w:r w:rsidR="00F80590">
        <w:rPr>
          <w:rFonts w:ascii="Calibri" w:hAnsi="Calibri" w:cs="Calibri"/>
        </w:rPr>
        <w:t xml:space="preserve"> (</w:t>
      </w:r>
      <w:r w:rsidR="00024D17">
        <w:rPr>
          <w:rFonts w:ascii="Calibri" w:hAnsi="Calibri" w:cs="Calibri"/>
        </w:rPr>
        <w:t>page 15</w:t>
      </w:r>
      <w:r w:rsidR="00F80590">
        <w:rPr>
          <w:rFonts w:ascii="Calibri" w:hAnsi="Calibri" w:cs="Calibri"/>
        </w:rPr>
        <w:t>),</w:t>
      </w:r>
      <w:r w:rsidR="00024D17">
        <w:rPr>
          <w:rFonts w:ascii="Calibri" w:hAnsi="Calibri" w:cs="Calibri"/>
        </w:rPr>
        <w:t xml:space="preserve"> </w:t>
      </w:r>
      <w:r w:rsidR="00DA2147">
        <w:rPr>
          <w:rFonts w:ascii="Calibri" w:hAnsi="Calibri" w:cs="Calibri"/>
        </w:rPr>
        <w:t xml:space="preserve">the </w:t>
      </w:r>
      <w:r w:rsidR="00024D17">
        <w:t>current</w:t>
      </w:r>
      <w:r w:rsidR="000E3CAB">
        <w:t xml:space="preserve"> funding mechanisms</w:t>
      </w:r>
      <w:r w:rsidR="00232A45">
        <w:t xml:space="preserve"> </w:t>
      </w:r>
      <w:r w:rsidR="00F80590">
        <w:t>are</w:t>
      </w:r>
      <w:r w:rsidR="00024D17" w:rsidRPr="00232A45">
        <w:t xml:space="preserve"> </w:t>
      </w:r>
      <w:r w:rsidR="00DA2147" w:rsidRPr="00232A45">
        <w:t xml:space="preserve">fragmented and complex </w:t>
      </w:r>
      <w:r w:rsidR="00024D17" w:rsidRPr="00232A45">
        <w:t xml:space="preserve">in </w:t>
      </w:r>
      <w:r w:rsidR="00DA2147" w:rsidRPr="00232A45">
        <w:t>nature</w:t>
      </w:r>
      <w:r w:rsidR="002C5731">
        <w:t xml:space="preserve">. </w:t>
      </w:r>
      <w:r w:rsidR="00F80590">
        <w:t>T</w:t>
      </w:r>
      <w:r w:rsidR="00024D17">
        <w:t>he question</w:t>
      </w:r>
      <w:r w:rsidR="002C5731">
        <w:t xml:space="preserve"> arises whether such a structure</w:t>
      </w:r>
      <w:r w:rsidR="00024D17">
        <w:t xml:space="preserve"> will best</w:t>
      </w:r>
      <w:r w:rsidR="00DA2147">
        <w:t xml:space="preserve"> support greater involvement by</w:t>
      </w:r>
      <w:r w:rsidR="00E348C1">
        <w:t xml:space="preserve"> private firms in</w:t>
      </w:r>
      <w:r w:rsidR="00DA2147">
        <w:t xml:space="preserve"> industry in the future. </w:t>
      </w:r>
      <w:r w:rsidR="00C21CA8">
        <w:t>Furthermore</w:t>
      </w:r>
      <w:r w:rsidR="00DA2147">
        <w:t>,</w:t>
      </w:r>
      <w:r w:rsidR="00024D17">
        <w:t xml:space="preserve"> it is noted on page 15 that “DAFM competitive programmes have engaged in joint funding of research to a limited extent in the past with EPA, MI &amp; HRB and have found it to be administratively cumbersome”.</w:t>
      </w:r>
      <w:r w:rsidR="00090BC0">
        <w:t xml:space="preserve"> </w:t>
      </w:r>
      <w:r w:rsidR="00024D17">
        <w:t xml:space="preserve">Such administrative barriers and even </w:t>
      </w:r>
      <w:r w:rsidR="007B3F6A">
        <w:t xml:space="preserve">the perception of their existence </w:t>
      </w:r>
      <w:r w:rsidR="007538DE">
        <w:t>may</w:t>
      </w:r>
      <w:r w:rsidR="00024D17">
        <w:t xml:space="preserve"> also deter industry involvement</w:t>
      </w:r>
      <w:r w:rsidR="007538DE">
        <w:t xml:space="preserve"> with public</w:t>
      </w:r>
      <w:r w:rsidR="000E3CAB">
        <w:t xml:space="preserve"> </w:t>
      </w:r>
      <w:r w:rsidR="007538DE">
        <w:t>funded partners</w:t>
      </w:r>
      <w:r w:rsidR="007B3F6A">
        <w:t xml:space="preserve"> and should be addressed</w:t>
      </w:r>
      <w:r w:rsidR="002E7985">
        <w:t xml:space="preserve">. </w:t>
      </w:r>
    </w:p>
    <w:p w:rsidR="005F4D24" w:rsidRDefault="00E348C1" w:rsidP="000C41B7">
      <w:pPr>
        <w:autoSpaceDE w:val="0"/>
        <w:autoSpaceDN w:val="0"/>
        <w:adjustRightInd w:val="0"/>
        <w:spacing w:before="120" w:after="120" w:line="240" w:lineRule="auto"/>
        <w:jc w:val="both"/>
      </w:pPr>
      <w:r>
        <w:t>I</w:t>
      </w:r>
      <w:r w:rsidR="005F4D24">
        <w:t xml:space="preserve">t </w:t>
      </w:r>
      <w:r>
        <w:t>would appear a</w:t>
      </w:r>
      <w:r w:rsidR="005F4D24">
        <w:t xml:space="preserve">ppropriate to consider </w:t>
      </w:r>
      <w:r w:rsidR="005F4D24">
        <w:rPr>
          <w:rFonts w:ascii="Calibri" w:hAnsi="Calibri" w:cs="Calibri"/>
        </w:rPr>
        <w:t>whether current s</w:t>
      </w:r>
      <w:r>
        <w:rPr>
          <w:rFonts w:ascii="Calibri" w:hAnsi="Calibri" w:cs="Calibri"/>
        </w:rPr>
        <w:t>chemes could be rationalised to</w:t>
      </w:r>
      <w:r w:rsidR="005F4D24">
        <w:rPr>
          <w:rFonts w:ascii="Calibri" w:hAnsi="Calibri" w:cs="Calibri"/>
        </w:rPr>
        <w:t xml:space="preserve"> </w:t>
      </w:r>
      <w:r w:rsidR="00647869">
        <w:rPr>
          <w:rFonts w:ascii="Calibri" w:hAnsi="Calibri" w:cs="Calibri"/>
        </w:rPr>
        <w:t>reduce Exchequer</w:t>
      </w:r>
      <w:r w:rsidR="005F4D24">
        <w:rPr>
          <w:rFonts w:ascii="Calibri" w:hAnsi="Calibri" w:cs="Calibri"/>
        </w:rPr>
        <w:t xml:space="preserve"> costs supporting innovation.</w:t>
      </w:r>
    </w:p>
    <w:p w:rsidR="00470695" w:rsidRDefault="00090BC0" w:rsidP="000C41B7">
      <w:pPr>
        <w:autoSpaceDE w:val="0"/>
        <w:autoSpaceDN w:val="0"/>
        <w:adjustRightInd w:val="0"/>
        <w:spacing w:before="120" w:after="120" w:line="240" w:lineRule="auto"/>
        <w:jc w:val="both"/>
      </w:pPr>
      <w:r>
        <w:t xml:space="preserve">The </w:t>
      </w:r>
      <w:r w:rsidRPr="00C21CB7">
        <w:rPr>
          <w:i/>
          <w:lang w:eastAsia="en-IE"/>
        </w:rPr>
        <w:t xml:space="preserve">National Expert Advisory Group on Agri-food Research and Innovation </w:t>
      </w:r>
      <w:r>
        <w:t xml:space="preserve">appears to have been an important forum which facilitated greater involvement by industry in </w:t>
      </w:r>
      <w:r w:rsidRPr="00C37757">
        <w:rPr>
          <w:lang w:eastAsia="en-IE"/>
        </w:rPr>
        <w:t>refining and prioritis</w:t>
      </w:r>
      <w:r w:rsidR="00470695">
        <w:rPr>
          <w:lang w:eastAsia="en-IE"/>
        </w:rPr>
        <w:t>ing</w:t>
      </w:r>
      <w:r w:rsidR="000E3CAB">
        <w:rPr>
          <w:lang w:eastAsia="en-IE"/>
        </w:rPr>
        <w:t xml:space="preserve"> the</w:t>
      </w:r>
      <w:r w:rsidR="00470695">
        <w:rPr>
          <w:lang w:eastAsia="en-IE"/>
        </w:rPr>
        <w:t xml:space="preserve"> research</w:t>
      </w:r>
      <w:r w:rsidR="007538DE">
        <w:rPr>
          <w:lang w:eastAsia="en-IE"/>
        </w:rPr>
        <w:t xml:space="preserve"> agenda funded by the State</w:t>
      </w:r>
      <w:r w:rsidR="00470695">
        <w:rPr>
          <w:lang w:eastAsia="en-IE"/>
        </w:rPr>
        <w:t xml:space="preserve">. </w:t>
      </w:r>
      <w:r>
        <w:rPr>
          <w:lang w:eastAsia="en-IE"/>
        </w:rPr>
        <w:t xml:space="preserve"> </w:t>
      </w:r>
      <w:r w:rsidR="007538DE">
        <w:rPr>
          <w:lang w:eastAsia="en-IE"/>
        </w:rPr>
        <w:t>F</w:t>
      </w:r>
      <w:r w:rsidR="00470695">
        <w:rPr>
          <w:lang w:eastAsia="en-IE"/>
        </w:rPr>
        <w:t xml:space="preserve">orums of this nature are </w:t>
      </w:r>
      <w:r w:rsidR="00F80590">
        <w:rPr>
          <w:lang w:eastAsia="en-IE"/>
        </w:rPr>
        <w:t>important</w:t>
      </w:r>
      <w:r w:rsidR="00470695">
        <w:rPr>
          <w:lang w:eastAsia="en-IE"/>
        </w:rPr>
        <w:t xml:space="preserve"> in </w:t>
      </w:r>
      <w:r w:rsidR="00470695">
        <w:t>facilitating a better</w:t>
      </w:r>
      <w:r w:rsidR="00177002">
        <w:t xml:space="preserve"> alignment of the public and private research interests</w:t>
      </w:r>
      <w:r w:rsidR="00470695">
        <w:t xml:space="preserve"> and</w:t>
      </w:r>
      <w:r w:rsidR="007538DE">
        <w:t xml:space="preserve"> help</w:t>
      </w:r>
      <w:r w:rsidR="00470695">
        <w:t xml:space="preserve"> encourage greater industry involvement and </w:t>
      </w:r>
      <w:r w:rsidR="007538DE">
        <w:t xml:space="preserve">create </w:t>
      </w:r>
      <w:r w:rsidR="00470695">
        <w:t>opportunities for collaboration</w:t>
      </w:r>
      <w:r w:rsidR="00177002">
        <w:t xml:space="preserve">. </w:t>
      </w:r>
    </w:p>
    <w:p w:rsidR="00C4185D" w:rsidRDefault="00C4185D" w:rsidP="000C41B7">
      <w:pPr>
        <w:autoSpaceDE w:val="0"/>
        <w:autoSpaceDN w:val="0"/>
        <w:adjustRightInd w:val="0"/>
        <w:spacing w:before="120" w:after="120" w:line="240" w:lineRule="auto"/>
        <w:jc w:val="both"/>
      </w:pPr>
    </w:p>
    <w:p w:rsidR="00400236" w:rsidRPr="007631BE" w:rsidRDefault="00400236" w:rsidP="000C41B7">
      <w:pPr>
        <w:autoSpaceDE w:val="0"/>
        <w:autoSpaceDN w:val="0"/>
        <w:adjustRightInd w:val="0"/>
        <w:spacing w:before="120" w:after="120" w:line="240" w:lineRule="auto"/>
        <w:jc w:val="both"/>
        <w:rPr>
          <w:b/>
          <w:i/>
        </w:rPr>
      </w:pPr>
      <w:r w:rsidRPr="007631BE">
        <w:rPr>
          <w:b/>
          <w:i/>
        </w:rPr>
        <w:t>Integration and coordination of complementing policies</w:t>
      </w:r>
    </w:p>
    <w:p w:rsidR="00EC7476" w:rsidRDefault="000E1ADB" w:rsidP="000C41B7">
      <w:pPr>
        <w:autoSpaceDE w:val="0"/>
        <w:autoSpaceDN w:val="0"/>
        <w:adjustRightInd w:val="0"/>
        <w:spacing w:before="120" w:after="120" w:line="240" w:lineRule="auto"/>
        <w:jc w:val="both"/>
      </w:pPr>
      <w:r w:rsidRPr="00232A45">
        <w:t>In the context</w:t>
      </w:r>
      <w:r w:rsidR="00EC7476" w:rsidRPr="00232A45">
        <w:t xml:space="preserve"> of</w:t>
      </w:r>
      <w:r w:rsidRPr="00232A45">
        <w:t xml:space="preserve"> </w:t>
      </w:r>
      <w:r w:rsidR="00570120" w:rsidRPr="00232A45">
        <w:t xml:space="preserve">the strategic assessment </w:t>
      </w:r>
      <w:r w:rsidRPr="00232A45">
        <w:t xml:space="preserve">of </w:t>
      </w:r>
      <w:r w:rsidR="00570120" w:rsidRPr="00232A45">
        <w:t xml:space="preserve">future direction of the </w:t>
      </w:r>
      <w:r w:rsidR="0023209C">
        <w:t xml:space="preserve">agri-food </w:t>
      </w:r>
      <w:r w:rsidRPr="00232A45">
        <w:t>industry,</w:t>
      </w:r>
      <w:r w:rsidR="00547AC0" w:rsidRPr="00232A45">
        <w:t xml:space="preserve"> policy efforts to support innovation in the </w:t>
      </w:r>
      <w:r w:rsidR="0023209C">
        <w:t xml:space="preserve">agri-food </w:t>
      </w:r>
      <w:r w:rsidR="00547AC0" w:rsidRPr="00232A45">
        <w:t>industry should not be pursued in isolation.</w:t>
      </w:r>
      <w:r w:rsidRPr="00232A45">
        <w:t xml:space="preserve"> </w:t>
      </w:r>
      <w:r w:rsidR="00400236">
        <w:t>T</w:t>
      </w:r>
      <w:r w:rsidR="00023233">
        <w:t xml:space="preserve">he </w:t>
      </w:r>
      <w:r w:rsidR="0023209C">
        <w:t xml:space="preserve">agri-food </w:t>
      </w:r>
      <w:r w:rsidR="00D81356">
        <w:t xml:space="preserve">strategy should consider how to integrate and coordinate policies where clear </w:t>
      </w:r>
      <w:r w:rsidR="00023233">
        <w:t xml:space="preserve">complementarities exist. </w:t>
      </w:r>
      <w:r w:rsidR="00570120" w:rsidRPr="00232A45">
        <w:t>Such efforts will support policies aimed at increasing innovation</w:t>
      </w:r>
      <w:r w:rsidR="00AE4760" w:rsidRPr="00232A45">
        <w:t xml:space="preserve"> </w:t>
      </w:r>
      <w:r w:rsidR="00023233">
        <w:t xml:space="preserve">activity </w:t>
      </w:r>
      <w:r w:rsidR="00AE4760" w:rsidRPr="00232A45">
        <w:t xml:space="preserve">in the </w:t>
      </w:r>
      <w:r w:rsidR="0023209C">
        <w:t xml:space="preserve">agri-food </w:t>
      </w:r>
      <w:r w:rsidR="00AE4760" w:rsidRPr="00232A45">
        <w:t>industry</w:t>
      </w:r>
      <w:r w:rsidR="00EC7476" w:rsidRPr="00232A45">
        <w:t>.</w:t>
      </w:r>
    </w:p>
    <w:p w:rsidR="00C4185D" w:rsidRDefault="00C4185D" w:rsidP="000C41B7">
      <w:pPr>
        <w:autoSpaceDE w:val="0"/>
        <w:autoSpaceDN w:val="0"/>
        <w:adjustRightInd w:val="0"/>
        <w:spacing w:before="120" w:after="120" w:line="240" w:lineRule="auto"/>
        <w:jc w:val="both"/>
        <w:rPr>
          <w:rFonts w:ascii="Calibri" w:hAnsi="Calibri" w:cs="Calibri"/>
          <w:b/>
          <w:i/>
        </w:rPr>
      </w:pPr>
    </w:p>
    <w:p w:rsidR="00400236" w:rsidRPr="007631BE" w:rsidRDefault="00400236" w:rsidP="000C41B7">
      <w:pPr>
        <w:autoSpaceDE w:val="0"/>
        <w:autoSpaceDN w:val="0"/>
        <w:adjustRightInd w:val="0"/>
        <w:spacing w:before="120" w:after="120" w:line="240" w:lineRule="auto"/>
        <w:jc w:val="both"/>
        <w:rPr>
          <w:rFonts w:ascii="Calibri" w:hAnsi="Calibri" w:cs="Calibri"/>
          <w:b/>
          <w:i/>
        </w:rPr>
      </w:pPr>
      <w:r w:rsidRPr="007631BE">
        <w:rPr>
          <w:rFonts w:ascii="Calibri" w:hAnsi="Calibri" w:cs="Calibri"/>
          <w:b/>
          <w:i/>
        </w:rPr>
        <w:t>Absorptive capacity</w:t>
      </w:r>
    </w:p>
    <w:p w:rsidR="00470695" w:rsidRDefault="00470695" w:rsidP="000C41B7">
      <w:pPr>
        <w:autoSpaceDE w:val="0"/>
        <w:autoSpaceDN w:val="0"/>
        <w:adjustRightInd w:val="0"/>
        <w:spacing w:before="120" w:after="120" w:line="240" w:lineRule="auto"/>
        <w:jc w:val="both"/>
        <w:rPr>
          <w:rFonts w:ascii="Calibri" w:hAnsi="Calibri" w:cs="Calibri"/>
        </w:rPr>
      </w:pPr>
      <w:r>
        <w:rPr>
          <w:rFonts w:ascii="Calibri" w:hAnsi="Calibri" w:cs="Calibri"/>
        </w:rPr>
        <w:t>To maximise the returns to research and innovation</w:t>
      </w:r>
      <w:r w:rsidR="007538DE">
        <w:rPr>
          <w:rFonts w:ascii="Calibri" w:hAnsi="Calibri" w:cs="Calibri"/>
        </w:rPr>
        <w:t xml:space="preserve"> in the </w:t>
      </w:r>
      <w:r w:rsidR="0023209C">
        <w:rPr>
          <w:rFonts w:ascii="Calibri" w:hAnsi="Calibri" w:cs="Calibri"/>
        </w:rPr>
        <w:t xml:space="preserve">agri-food </w:t>
      </w:r>
      <w:r w:rsidR="007538DE">
        <w:rPr>
          <w:rFonts w:ascii="Calibri" w:hAnsi="Calibri" w:cs="Calibri"/>
        </w:rPr>
        <w:t>sector</w:t>
      </w:r>
      <w:r>
        <w:rPr>
          <w:rFonts w:ascii="Calibri" w:hAnsi="Calibri" w:cs="Calibri"/>
        </w:rPr>
        <w:t xml:space="preserve">, it is important that </w:t>
      </w:r>
      <w:r w:rsidR="00F80590">
        <w:rPr>
          <w:rFonts w:ascii="Calibri" w:hAnsi="Calibri" w:cs="Calibri"/>
        </w:rPr>
        <w:t xml:space="preserve">research </w:t>
      </w:r>
      <w:r>
        <w:rPr>
          <w:rFonts w:ascii="Calibri" w:hAnsi="Calibri" w:cs="Calibri"/>
        </w:rPr>
        <w:t>findings are disseminated effectively. In this regard,</w:t>
      </w:r>
      <w:r w:rsidR="005F4D24">
        <w:rPr>
          <w:rFonts w:ascii="Calibri" w:hAnsi="Calibri" w:cs="Calibri"/>
        </w:rPr>
        <w:t xml:space="preserve"> based on the background document, it appears</w:t>
      </w:r>
      <w:r>
        <w:rPr>
          <w:rFonts w:ascii="Calibri" w:hAnsi="Calibri" w:cs="Calibri"/>
        </w:rPr>
        <w:t xml:space="preserve"> that many bodies including Teagasc and Enterprise Ireland have been particular</w:t>
      </w:r>
      <w:r w:rsidR="00303B71">
        <w:rPr>
          <w:rFonts w:ascii="Calibri" w:hAnsi="Calibri" w:cs="Calibri"/>
        </w:rPr>
        <w:t>ly</w:t>
      </w:r>
      <w:r>
        <w:rPr>
          <w:rFonts w:ascii="Calibri" w:hAnsi="Calibri" w:cs="Calibri"/>
        </w:rPr>
        <w:t xml:space="preserve"> active. However</w:t>
      </w:r>
      <w:r w:rsidR="00303B71">
        <w:rPr>
          <w:rFonts w:ascii="Calibri" w:hAnsi="Calibri" w:cs="Calibri"/>
        </w:rPr>
        <w:t xml:space="preserve">, research has shown that </w:t>
      </w:r>
      <w:r w:rsidR="00303B71" w:rsidRPr="00303B71">
        <w:rPr>
          <w:rFonts w:ascii="Calibri" w:hAnsi="Calibri" w:cs="Calibri"/>
        </w:rPr>
        <w:t>knowledge spillovers are not automatic and are conditioned and enhanced by</w:t>
      </w:r>
      <w:r w:rsidR="00303B71">
        <w:rPr>
          <w:rFonts w:ascii="Calibri" w:hAnsi="Calibri" w:cs="Calibri"/>
        </w:rPr>
        <w:t xml:space="preserve"> e</w:t>
      </w:r>
      <w:r w:rsidR="00303B71" w:rsidRPr="00303B71">
        <w:rPr>
          <w:rFonts w:ascii="Calibri" w:hAnsi="Calibri" w:cs="Calibri"/>
        </w:rPr>
        <w:t>nterprises’ absorptive capacities</w:t>
      </w:r>
      <w:r w:rsidR="00303B71">
        <w:rPr>
          <w:rFonts w:ascii="Calibri" w:hAnsi="Calibri" w:cs="Calibri"/>
        </w:rPr>
        <w:t xml:space="preserve">. Therefore, </w:t>
      </w:r>
      <w:r>
        <w:rPr>
          <w:rFonts w:ascii="Calibri" w:hAnsi="Calibri" w:cs="Calibri"/>
        </w:rPr>
        <w:t xml:space="preserve">it is important that such bodies continue to monitor and assess the </w:t>
      </w:r>
      <w:r w:rsidR="00303B71">
        <w:rPr>
          <w:rFonts w:ascii="Calibri" w:hAnsi="Calibri" w:cs="Calibri"/>
        </w:rPr>
        <w:t xml:space="preserve">speed and efficiency with which new knowledge </w:t>
      </w:r>
      <w:r w:rsidR="00400236">
        <w:rPr>
          <w:rFonts w:ascii="Calibri" w:hAnsi="Calibri" w:cs="Calibri"/>
        </w:rPr>
        <w:t>is</w:t>
      </w:r>
      <w:r w:rsidR="00303B71">
        <w:rPr>
          <w:rFonts w:ascii="Calibri" w:hAnsi="Calibri" w:cs="Calibri"/>
        </w:rPr>
        <w:t xml:space="preserve"> successfully adopted by</w:t>
      </w:r>
      <w:r w:rsidR="00400236">
        <w:rPr>
          <w:rFonts w:ascii="Calibri" w:hAnsi="Calibri" w:cs="Calibri"/>
        </w:rPr>
        <w:t xml:space="preserve"> </w:t>
      </w:r>
      <w:r w:rsidR="00400236">
        <w:rPr>
          <w:rFonts w:ascii="Calibri" w:hAnsi="Calibri" w:cs="Calibri"/>
        </w:rPr>
        <w:lastRenderedPageBreak/>
        <w:t>producers</w:t>
      </w:r>
      <w:r w:rsidR="00303B71">
        <w:rPr>
          <w:rFonts w:ascii="Calibri" w:hAnsi="Calibri" w:cs="Calibri"/>
        </w:rPr>
        <w:t xml:space="preserve"> and businesses. Where adoption rates o</w:t>
      </w:r>
      <w:r w:rsidR="000C48A3">
        <w:rPr>
          <w:rFonts w:ascii="Calibri" w:hAnsi="Calibri" w:cs="Calibri"/>
        </w:rPr>
        <w:t xml:space="preserve">f new technologies </w:t>
      </w:r>
      <w:r w:rsidR="00400236">
        <w:rPr>
          <w:rFonts w:ascii="Calibri" w:hAnsi="Calibri" w:cs="Calibri"/>
        </w:rPr>
        <w:t>is</w:t>
      </w:r>
      <w:r w:rsidR="000C48A3">
        <w:rPr>
          <w:rFonts w:ascii="Calibri" w:hAnsi="Calibri" w:cs="Calibri"/>
        </w:rPr>
        <w:t xml:space="preserve"> low/slow</w:t>
      </w:r>
      <w:r w:rsidR="00303B71">
        <w:rPr>
          <w:rFonts w:ascii="Calibri" w:hAnsi="Calibri" w:cs="Calibri"/>
        </w:rPr>
        <w:t xml:space="preserve">, it is necessary for relevant bodies to </w:t>
      </w:r>
      <w:r w:rsidR="005F4D24">
        <w:rPr>
          <w:rFonts w:ascii="Calibri" w:hAnsi="Calibri" w:cs="Calibri"/>
        </w:rPr>
        <w:t>have in place</w:t>
      </w:r>
      <w:r w:rsidR="00303B71">
        <w:rPr>
          <w:rFonts w:ascii="Calibri" w:hAnsi="Calibri" w:cs="Calibri"/>
        </w:rPr>
        <w:t xml:space="preserve"> </w:t>
      </w:r>
      <w:r w:rsidR="005F4D24">
        <w:rPr>
          <w:rFonts w:ascii="Calibri" w:hAnsi="Calibri" w:cs="Calibri"/>
        </w:rPr>
        <w:t xml:space="preserve">review </w:t>
      </w:r>
      <w:r w:rsidR="00303B71">
        <w:rPr>
          <w:rFonts w:ascii="Calibri" w:hAnsi="Calibri" w:cs="Calibri"/>
        </w:rPr>
        <w:t>mechanism</w:t>
      </w:r>
      <w:r w:rsidR="005F4D24">
        <w:rPr>
          <w:rFonts w:ascii="Calibri" w:hAnsi="Calibri" w:cs="Calibri"/>
        </w:rPr>
        <w:t>s</w:t>
      </w:r>
      <w:r w:rsidR="00303B71">
        <w:rPr>
          <w:rFonts w:ascii="Calibri" w:hAnsi="Calibri" w:cs="Calibri"/>
        </w:rPr>
        <w:t xml:space="preserve"> and methodologies </w:t>
      </w:r>
      <w:r w:rsidR="005F4D24">
        <w:rPr>
          <w:rFonts w:ascii="Calibri" w:hAnsi="Calibri" w:cs="Calibri"/>
        </w:rPr>
        <w:t>that can</w:t>
      </w:r>
      <w:r w:rsidR="00303B71">
        <w:rPr>
          <w:rFonts w:ascii="Calibri" w:hAnsi="Calibri" w:cs="Calibri"/>
        </w:rPr>
        <w:t xml:space="preserve"> identify and assess what deficiencies need to be tackle</w:t>
      </w:r>
      <w:r w:rsidR="005F4D24">
        <w:rPr>
          <w:rFonts w:ascii="Calibri" w:hAnsi="Calibri" w:cs="Calibri"/>
        </w:rPr>
        <w:t>d</w:t>
      </w:r>
      <w:r w:rsidR="00303B71">
        <w:rPr>
          <w:rFonts w:ascii="Calibri" w:hAnsi="Calibri" w:cs="Calibri"/>
        </w:rPr>
        <w:t xml:space="preserve"> </w:t>
      </w:r>
      <w:r w:rsidR="00EE2FAA">
        <w:rPr>
          <w:rFonts w:ascii="Calibri" w:hAnsi="Calibri" w:cs="Calibri"/>
        </w:rPr>
        <w:t>i</w:t>
      </w:r>
      <w:r w:rsidR="005F4D24">
        <w:rPr>
          <w:rFonts w:ascii="Calibri" w:hAnsi="Calibri" w:cs="Calibri"/>
        </w:rPr>
        <w:t xml:space="preserve">n order </w:t>
      </w:r>
      <w:r w:rsidR="00303B71">
        <w:rPr>
          <w:rFonts w:ascii="Calibri" w:hAnsi="Calibri" w:cs="Calibri"/>
        </w:rPr>
        <w:t>to improve absorptive capacity of new knowledge and technology.</w:t>
      </w:r>
    </w:p>
    <w:p w:rsidR="00874EA8" w:rsidRDefault="00874EA8" w:rsidP="000C41B7">
      <w:pPr>
        <w:autoSpaceDE w:val="0"/>
        <w:autoSpaceDN w:val="0"/>
        <w:adjustRightInd w:val="0"/>
        <w:spacing w:before="120" w:after="120" w:line="240" w:lineRule="auto"/>
        <w:jc w:val="both"/>
        <w:rPr>
          <w:rFonts w:ascii="Calibri" w:hAnsi="Calibri" w:cs="Calibri"/>
          <w:b/>
        </w:rPr>
      </w:pPr>
    </w:p>
    <w:p w:rsidR="00177002" w:rsidRDefault="00B50BB4" w:rsidP="000C41B7">
      <w:pPr>
        <w:autoSpaceDE w:val="0"/>
        <w:autoSpaceDN w:val="0"/>
        <w:adjustRightInd w:val="0"/>
        <w:spacing w:before="120" w:after="120" w:line="240" w:lineRule="auto"/>
        <w:jc w:val="both"/>
        <w:rPr>
          <w:rFonts w:ascii="Calibri" w:hAnsi="Calibri" w:cs="Calibri"/>
          <w:b/>
          <w:sz w:val="28"/>
          <w:szCs w:val="28"/>
        </w:rPr>
      </w:pPr>
      <w:r w:rsidRPr="00874EA8">
        <w:rPr>
          <w:rFonts w:ascii="Calibri" w:hAnsi="Calibri" w:cs="Calibri"/>
          <w:b/>
          <w:sz w:val="28"/>
          <w:szCs w:val="28"/>
        </w:rPr>
        <w:t>Risks</w:t>
      </w:r>
    </w:p>
    <w:p w:rsidR="00AF2458" w:rsidRPr="00AF2458" w:rsidRDefault="00AF2458" w:rsidP="000C41B7">
      <w:pPr>
        <w:autoSpaceDE w:val="0"/>
        <w:autoSpaceDN w:val="0"/>
        <w:adjustRightInd w:val="0"/>
        <w:spacing w:before="120" w:after="120" w:line="240" w:lineRule="auto"/>
        <w:jc w:val="both"/>
        <w:rPr>
          <w:rFonts w:ascii="Calibri" w:hAnsi="Calibri" w:cs="Calibri"/>
          <w:b/>
          <w:i/>
        </w:rPr>
      </w:pPr>
      <w:r w:rsidRPr="00AF2458">
        <w:rPr>
          <w:rFonts w:ascii="Calibri" w:hAnsi="Calibri" w:cs="Calibri"/>
          <w:b/>
          <w:i/>
        </w:rPr>
        <w:t>Greater price volatility</w:t>
      </w:r>
    </w:p>
    <w:p w:rsidR="00B50BB4" w:rsidRPr="00B50BB4" w:rsidRDefault="00B50BB4" w:rsidP="000C41B7">
      <w:pPr>
        <w:autoSpaceDE w:val="0"/>
        <w:autoSpaceDN w:val="0"/>
        <w:adjustRightInd w:val="0"/>
        <w:spacing w:before="120" w:after="120" w:line="240" w:lineRule="auto"/>
        <w:jc w:val="both"/>
        <w:rPr>
          <w:rFonts w:ascii="Calibri" w:hAnsi="Calibri" w:cs="Calibri"/>
          <w:b/>
        </w:rPr>
      </w:pPr>
      <w:r>
        <w:t xml:space="preserve">With the continued </w:t>
      </w:r>
      <w:r w:rsidR="00251A20">
        <w:t xml:space="preserve">international </w:t>
      </w:r>
      <w:r>
        <w:t xml:space="preserve">integration </w:t>
      </w:r>
      <w:r w:rsidR="00251A20">
        <w:t>and</w:t>
      </w:r>
      <w:r>
        <w:t xml:space="preserve"> </w:t>
      </w:r>
      <w:r w:rsidR="00964C0A">
        <w:t>unexpected geopolitical events</w:t>
      </w:r>
      <w:r w:rsidR="00251A20">
        <w:t xml:space="preserve">, many sectors could be exposed to </w:t>
      </w:r>
      <w:r w:rsidR="000E3CAB">
        <w:t xml:space="preserve">potentially </w:t>
      </w:r>
      <w:r w:rsidR="00251A20">
        <w:t xml:space="preserve">greater price volatility. </w:t>
      </w:r>
    </w:p>
    <w:p w:rsidR="00434ED1" w:rsidRDefault="00B50BB4" w:rsidP="004D0AFF">
      <w:pPr>
        <w:spacing w:after="0" w:line="240" w:lineRule="auto"/>
        <w:jc w:val="both"/>
      </w:pPr>
      <w:r>
        <w:t>A case in point is the dairy industry which will see the elimination of the milk quota system in 2015</w:t>
      </w:r>
      <w:r w:rsidR="00251A20">
        <w:t>. T</w:t>
      </w:r>
      <w:r>
        <w:t>he abolition of the quota system means producers will have to accep</w:t>
      </w:r>
      <w:r w:rsidR="00251A20">
        <w:t>t the going world market price</w:t>
      </w:r>
      <w:r w:rsidR="00874EA8">
        <w:t xml:space="preserve"> which will be more volatile</w:t>
      </w:r>
      <w:r w:rsidR="00251A20">
        <w:t xml:space="preserve">. </w:t>
      </w:r>
      <w:r w:rsidR="00491E42" w:rsidRPr="00491E42">
        <w:rPr>
          <w:iCs/>
        </w:rPr>
        <w:t xml:space="preserve">The Exchequer should not be expected to support producers during periods of low prices. The development within the sector of appropriate price volatility absorption mechanisms will help support the sustainability of dairy production. Appropriate financial support mechanisms should be provided by the industry in conjunction with the financial sector. </w:t>
      </w:r>
      <w:r w:rsidR="0043312D" w:rsidRPr="00491E42">
        <w:t xml:space="preserve">Regarding </w:t>
      </w:r>
      <w:r w:rsidRPr="00491E42">
        <w:t xml:space="preserve">taxation support schemes that are used to </w:t>
      </w:r>
      <w:r w:rsidR="00874EA8" w:rsidRPr="00491E42">
        <w:t>address</w:t>
      </w:r>
      <w:r w:rsidRPr="00491E42">
        <w:t xml:space="preserve"> income volatility in other countries</w:t>
      </w:r>
      <w:r w:rsidR="0043312D" w:rsidRPr="00491E42">
        <w:t>,</w:t>
      </w:r>
      <w:r w:rsidRPr="00491E42">
        <w:t xml:space="preserve"> </w:t>
      </w:r>
      <w:r w:rsidR="00434ED1" w:rsidRPr="00491E42">
        <w:t xml:space="preserve">the </w:t>
      </w:r>
      <w:r w:rsidRPr="00491E42">
        <w:t xml:space="preserve">Teagasc document </w:t>
      </w:r>
      <w:r w:rsidR="008D089D">
        <w:t>“</w:t>
      </w:r>
      <w:r w:rsidRPr="00491E42">
        <w:t>Drivers and scenarios of land use change</w:t>
      </w:r>
      <w:r w:rsidR="008D089D">
        <w:t>”</w:t>
      </w:r>
      <w:bookmarkStart w:id="0" w:name="_GoBack"/>
      <w:bookmarkEnd w:id="0"/>
      <w:r w:rsidR="0043312D" w:rsidRPr="00491E42">
        <w:t xml:space="preserve"> provides</w:t>
      </w:r>
      <w:r w:rsidR="0043312D">
        <w:t xml:space="preserve"> an interesting </w:t>
      </w:r>
      <w:r w:rsidRPr="000209A5">
        <w:t>comp</w:t>
      </w:r>
      <w:r w:rsidR="0043312D">
        <w:t xml:space="preserve">arison with New Zealand. On page 19 it notes that </w:t>
      </w:r>
      <w:r w:rsidRPr="000209A5">
        <w:t xml:space="preserve">“On the taxation side, zero level capital gains tax and the agri deposit type scheme which operates to handle income volatility are two very important differences in taxation policy, which facilitate agricultural expansion.” </w:t>
      </w:r>
      <w:r w:rsidR="0043312D">
        <w:t>However, i</w:t>
      </w:r>
      <w:r w:rsidRPr="000209A5">
        <w:t xml:space="preserve">n the course of the Review, it was concluded that an agri deposit type scheme on the lines of the New Zealand or Australian models was most likely not compatible with EU State Aid rules. Also, while Budget 2015 extended </w:t>
      </w:r>
      <w:r w:rsidR="00874EA8">
        <w:t>capital gains tax (</w:t>
      </w:r>
      <w:r w:rsidRPr="000209A5">
        <w:t>CGT</w:t>
      </w:r>
      <w:r w:rsidR="00874EA8">
        <w:t>)</w:t>
      </w:r>
      <w:r w:rsidRPr="000209A5">
        <w:t xml:space="preserve"> relief to whole-farm restructuring, the issue of zero CGT for the farming sector would not be a policy option while it remained for all other sectors of the economy.</w:t>
      </w:r>
      <w:r w:rsidR="0043312D">
        <w:t xml:space="preserve"> </w:t>
      </w:r>
    </w:p>
    <w:p w:rsidR="0086772C" w:rsidRDefault="0086772C" w:rsidP="00B50BB4">
      <w:pPr>
        <w:autoSpaceDE w:val="0"/>
        <w:autoSpaceDN w:val="0"/>
        <w:adjustRightInd w:val="0"/>
        <w:spacing w:before="120" w:after="120" w:line="240" w:lineRule="auto"/>
        <w:jc w:val="both"/>
        <w:rPr>
          <w:rFonts w:ascii="Calibri" w:hAnsi="Calibri" w:cs="Calibri"/>
          <w:b/>
          <w:sz w:val="28"/>
          <w:szCs w:val="28"/>
        </w:rPr>
      </w:pPr>
    </w:p>
    <w:p w:rsidR="007631BE" w:rsidRPr="007631BE" w:rsidRDefault="007631BE" w:rsidP="00B50BB4">
      <w:pPr>
        <w:autoSpaceDE w:val="0"/>
        <w:autoSpaceDN w:val="0"/>
        <w:adjustRightInd w:val="0"/>
        <w:spacing w:before="120" w:after="120" w:line="240" w:lineRule="auto"/>
        <w:jc w:val="both"/>
        <w:rPr>
          <w:rFonts w:ascii="Calibri" w:hAnsi="Calibri" w:cs="Calibri"/>
          <w:b/>
          <w:sz w:val="28"/>
          <w:szCs w:val="28"/>
        </w:rPr>
      </w:pPr>
      <w:r w:rsidRPr="007631BE">
        <w:rPr>
          <w:rFonts w:ascii="Calibri" w:hAnsi="Calibri" w:cs="Calibri"/>
          <w:b/>
          <w:sz w:val="28"/>
          <w:szCs w:val="28"/>
        </w:rPr>
        <w:t>Other issues</w:t>
      </w:r>
    </w:p>
    <w:p w:rsidR="007631BE" w:rsidRPr="007631BE" w:rsidRDefault="007631BE" w:rsidP="007631BE">
      <w:pPr>
        <w:spacing w:before="120" w:after="120" w:line="240" w:lineRule="auto"/>
        <w:jc w:val="both"/>
        <w:rPr>
          <w:b/>
          <w:i/>
        </w:rPr>
      </w:pPr>
      <w:r w:rsidRPr="007631BE">
        <w:rPr>
          <w:b/>
          <w:i/>
        </w:rPr>
        <w:t>Taxation interventions</w:t>
      </w:r>
    </w:p>
    <w:p w:rsidR="007631BE" w:rsidRDefault="007631BE" w:rsidP="007631BE">
      <w:pPr>
        <w:spacing w:before="120" w:after="120"/>
        <w:jc w:val="both"/>
      </w:pPr>
      <w:r>
        <w:t>From a</w:t>
      </w:r>
      <w:r w:rsidRPr="00BB294B">
        <w:t xml:space="preserve"> longer term strategic</w:t>
      </w:r>
      <w:r>
        <w:t xml:space="preserve"> perspective, the sector should</w:t>
      </w:r>
      <w:r w:rsidRPr="00620175">
        <w:t xml:space="preserve"> consider</w:t>
      </w:r>
      <w:r>
        <w:t xml:space="preserve"> the role of agri</w:t>
      </w:r>
      <w:r w:rsidR="0005746D">
        <w:t>-</w:t>
      </w:r>
      <w:r>
        <w:t xml:space="preserve">tax measures and </w:t>
      </w:r>
      <w:r w:rsidR="00434ED1">
        <w:t xml:space="preserve">their effectiveness in addressing </w:t>
      </w:r>
      <w:r>
        <w:t xml:space="preserve">the market failures or distortions they are intended to address. We </w:t>
      </w:r>
      <w:r w:rsidR="00F451F9">
        <w:t xml:space="preserve">note </w:t>
      </w:r>
      <w:r>
        <w:t xml:space="preserve">the </w:t>
      </w:r>
      <w:r w:rsidRPr="00620175">
        <w:t>state</w:t>
      </w:r>
      <w:r>
        <w:t xml:space="preserve">ment </w:t>
      </w:r>
      <w:r w:rsidRPr="00620175">
        <w:t xml:space="preserve">in the </w:t>
      </w:r>
      <w:r w:rsidRPr="00647869">
        <w:t>Department of Agriculture, Food and the Marine</w:t>
      </w:r>
      <w:r w:rsidRPr="00620175">
        <w:t xml:space="preserve"> document</w:t>
      </w:r>
      <w:r>
        <w:t xml:space="preserve"> on </w:t>
      </w:r>
      <w:bookmarkStart w:id="1" w:name="_Toc399850229"/>
      <w:bookmarkStart w:id="2" w:name="_Toc399850310"/>
      <w:r w:rsidRPr="000209A5">
        <w:t>Farm incomes, farm structures and agri-taxation</w:t>
      </w:r>
      <w:bookmarkEnd w:id="1"/>
      <w:bookmarkEnd w:id="2"/>
      <w:r w:rsidRPr="00620175">
        <w:t xml:space="preserve"> (page 15), </w:t>
      </w:r>
      <w:r>
        <w:t xml:space="preserve">that “the </w:t>
      </w:r>
      <w:r w:rsidRPr="00620175">
        <w:t xml:space="preserve">Review provides a strong evidence base for continued assistance to the primary sector through taxation measures”. </w:t>
      </w:r>
      <w:r w:rsidR="00F451F9">
        <w:t xml:space="preserve"> However, t</w:t>
      </w:r>
      <w:r w:rsidRPr="00620175">
        <w:t xml:space="preserve">he </w:t>
      </w:r>
      <w:r w:rsidR="00F451F9">
        <w:t>c</w:t>
      </w:r>
      <w:r>
        <w:t xml:space="preserve">ost </w:t>
      </w:r>
      <w:r w:rsidR="00F451F9">
        <w:t>b</w:t>
      </w:r>
      <w:r>
        <w:t xml:space="preserve">enefit </w:t>
      </w:r>
      <w:r w:rsidR="00F451F9">
        <w:t>a</w:t>
      </w:r>
      <w:r>
        <w:t>nalysis</w:t>
      </w:r>
      <w:r w:rsidRPr="00620175">
        <w:t xml:space="preserve"> (pages 42-43 of the Review) concluded that the total economic cost of agri-tax measures amounted to €681m, while the benefits were of the order of €790,</w:t>
      </w:r>
      <w:r>
        <w:t xml:space="preserve"> and that in aggregate the agri-</w:t>
      </w:r>
      <w:r w:rsidRPr="00620175">
        <w:t xml:space="preserve">tax reliefs have a </w:t>
      </w:r>
      <w:r w:rsidRPr="00F451F9">
        <w:rPr>
          <w:u w:val="single"/>
        </w:rPr>
        <w:t>small</w:t>
      </w:r>
      <w:r w:rsidRPr="00620175">
        <w:t xml:space="preserve"> positive net econom</w:t>
      </w:r>
      <w:r>
        <w:t>ic benefit to the Irish economy.</w:t>
      </w:r>
      <w:r w:rsidR="00F451F9">
        <w:t xml:space="preserve">  It is important not to overstate the findings of this analysis. </w:t>
      </w:r>
    </w:p>
    <w:p w:rsidR="00F80590" w:rsidRDefault="00F80590" w:rsidP="00B50BB4">
      <w:pPr>
        <w:autoSpaceDE w:val="0"/>
        <w:autoSpaceDN w:val="0"/>
        <w:adjustRightInd w:val="0"/>
        <w:spacing w:before="120" w:after="120" w:line="240" w:lineRule="auto"/>
        <w:jc w:val="both"/>
      </w:pPr>
    </w:p>
    <w:p w:rsidR="00F80590" w:rsidRPr="00F80590" w:rsidRDefault="00F80590" w:rsidP="00B50BB4">
      <w:pPr>
        <w:autoSpaceDE w:val="0"/>
        <w:autoSpaceDN w:val="0"/>
        <w:adjustRightInd w:val="0"/>
        <w:spacing w:before="120" w:after="120" w:line="240" w:lineRule="auto"/>
        <w:jc w:val="both"/>
        <w:rPr>
          <w:b/>
        </w:rPr>
      </w:pPr>
    </w:p>
    <w:p w:rsidR="00F80590" w:rsidRPr="00F80590" w:rsidRDefault="00F80590" w:rsidP="00B50BB4">
      <w:pPr>
        <w:autoSpaceDE w:val="0"/>
        <w:autoSpaceDN w:val="0"/>
        <w:adjustRightInd w:val="0"/>
        <w:spacing w:before="120" w:after="120" w:line="240" w:lineRule="auto"/>
        <w:jc w:val="both"/>
        <w:rPr>
          <w:b/>
        </w:rPr>
      </w:pPr>
      <w:r w:rsidRPr="00F80590">
        <w:rPr>
          <w:b/>
        </w:rPr>
        <w:t>Department of Finance</w:t>
      </w:r>
    </w:p>
    <w:p w:rsidR="00F80590" w:rsidRPr="00F80590" w:rsidRDefault="00470086" w:rsidP="00B50BB4">
      <w:pPr>
        <w:autoSpaceDE w:val="0"/>
        <w:autoSpaceDN w:val="0"/>
        <w:adjustRightInd w:val="0"/>
        <w:spacing w:before="120" w:after="120" w:line="240" w:lineRule="auto"/>
        <w:jc w:val="both"/>
        <w:rPr>
          <w:rFonts w:ascii="Calibri" w:hAnsi="Calibri" w:cs="Calibri"/>
          <w:b/>
        </w:rPr>
      </w:pPr>
      <w:r>
        <w:rPr>
          <w:rFonts w:ascii="Calibri" w:hAnsi="Calibri" w:cs="Calibri"/>
          <w:b/>
        </w:rPr>
        <w:t>January, 2015</w:t>
      </w:r>
    </w:p>
    <w:sectPr w:rsidR="00F80590" w:rsidRPr="00F80590">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2AC9" w:rsidRDefault="00FC2AC9" w:rsidP="00FC2AC9">
      <w:pPr>
        <w:spacing w:after="0" w:line="240" w:lineRule="auto"/>
      </w:pPr>
      <w:r>
        <w:separator/>
      </w:r>
    </w:p>
  </w:endnote>
  <w:endnote w:type="continuationSeparator" w:id="0">
    <w:p w:rsidR="00FC2AC9" w:rsidRDefault="00FC2AC9" w:rsidP="00FC2AC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4074970"/>
      <w:docPartObj>
        <w:docPartGallery w:val="Page Numbers (Bottom of Page)"/>
        <w:docPartUnique/>
      </w:docPartObj>
    </w:sdtPr>
    <w:sdtEndPr>
      <w:rPr>
        <w:noProof/>
      </w:rPr>
    </w:sdtEndPr>
    <w:sdtContent>
      <w:p w:rsidR="00C03AEC" w:rsidRDefault="00C03AEC">
        <w:pPr>
          <w:pStyle w:val="Footer"/>
          <w:jc w:val="center"/>
        </w:pPr>
        <w:r>
          <w:fldChar w:fldCharType="begin"/>
        </w:r>
        <w:r>
          <w:instrText xml:space="preserve"> PAGE   \* MERGEFORMAT </w:instrText>
        </w:r>
        <w:r>
          <w:fldChar w:fldCharType="separate"/>
        </w:r>
        <w:r w:rsidR="008D089D">
          <w:rPr>
            <w:noProof/>
          </w:rPr>
          <w:t>6</w:t>
        </w:r>
        <w:r>
          <w:rPr>
            <w:noProof/>
          </w:rPr>
          <w:fldChar w:fldCharType="end"/>
        </w:r>
      </w:p>
    </w:sdtContent>
  </w:sdt>
  <w:p w:rsidR="00C03AEC" w:rsidRDefault="00C03AE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2AC9" w:rsidRDefault="00FC2AC9" w:rsidP="00FC2AC9">
      <w:pPr>
        <w:spacing w:after="0" w:line="240" w:lineRule="auto"/>
      </w:pPr>
      <w:r>
        <w:separator/>
      </w:r>
    </w:p>
  </w:footnote>
  <w:footnote w:type="continuationSeparator" w:id="0">
    <w:p w:rsidR="00FC2AC9" w:rsidRDefault="00FC2AC9" w:rsidP="00FC2AC9">
      <w:pPr>
        <w:spacing w:after="0" w:line="240" w:lineRule="auto"/>
      </w:pPr>
      <w:r>
        <w:continuationSeparator/>
      </w:r>
    </w:p>
  </w:footnote>
  <w:footnote w:id="1">
    <w:p w:rsidR="00566D80" w:rsidRDefault="00566D80">
      <w:pPr>
        <w:pStyle w:val="FootnoteText"/>
      </w:pPr>
      <w:r>
        <w:rPr>
          <w:rStyle w:val="FootnoteReference"/>
        </w:rPr>
        <w:footnoteRef/>
      </w:r>
      <w:r>
        <w:t xml:space="preserve"> </w:t>
      </w:r>
      <w:r w:rsidR="008C5B06">
        <w:t xml:space="preserve">The </w:t>
      </w:r>
      <w:r w:rsidR="008C5B06" w:rsidRPr="00C21CA8">
        <w:t>Department of Finance Guidelines for Tax Expenditure Evaluation Paper</w:t>
      </w:r>
      <w:r w:rsidR="008C5B06">
        <w:t xml:space="preserve"> is available at </w:t>
      </w:r>
      <w:r w:rsidR="008C5B06" w:rsidRPr="008C5B06">
        <w:t>http://www.budget.gov.ie/Budgets/2015/Documents/Tax_Expenditures_Oct14.pdf</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51F9" w:rsidRDefault="00F451F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8A0B03"/>
    <w:multiLevelType w:val="hybridMultilevel"/>
    <w:tmpl w:val="426EEA6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1">
    <w:nsid w:val="1ADC1AD6"/>
    <w:multiLevelType w:val="hybridMultilevel"/>
    <w:tmpl w:val="5F5828F2"/>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
    <w:nsid w:val="28BE409E"/>
    <w:multiLevelType w:val="hybridMultilevel"/>
    <w:tmpl w:val="7A2EAAD0"/>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3">
    <w:nsid w:val="43B77E32"/>
    <w:multiLevelType w:val="multilevel"/>
    <w:tmpl w:val="5596D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4E456956"/>
    <w:multiLevelType w:val="multilevel"/>
    <w:tmpl w:val="D10E8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587968D1"/>
    <w:multiLevelType w:val="hybridMultilevel"/>
    <w:tmpl w:val="F3A6ACF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605142B5"/>
    <w:multiLevelType w:val="hybridMultilevel"/>
    <w:tmpl w:val="A43AAFEC"/>
    <w:lvl w:ilvl="0" w:tplc="18090001">
      <w:start w:val="1"/>
      <w:numFmt w:val="bullet"/>
      <w:lvlText w:val=""/>
      <w:lvlJc w:val="left"/>
      <w:pPr>
        <w:ind w:left="720" w:hanging="360"/>
      </w:pPr>
      <w:rPr>
        <w:rFonts w:ascii="Symbol" w:hAnsi="Symbol"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7">
    <w:nsid w:val="6B9F0654"/>
    <w:multiLevelType w:val="multilevel"/>
    <w:tmpl w:val="FB0EF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706353A6"/>
    <w:multiLevelType w:val="multilevel"/>
    <w:tmpl w:val="795E6D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7F0A659B"/>
    <w:multiLevelType w:val="multilevel"/>
    <w:tmpl w:val="4A749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6"/>
  </w:num>
  <w:num w:numId="3">
    <w:abstractNumId w:val="9"/>
  </w:num>
  <w:num w:numId="4">
    <w:abstractNumId w:val="3"/>
  </w:num>
  <w:num w:numId="5">
    <w:abstractNumId w:val="7"/>
  </w:num>
  <w:num w:numId="6">
    <w:abstractNumId w:val="8"/>
  </w:num>
  <w:num w:numId="7">
    <w:abstractNumId w:val="4"/>
  </w:num>
  <w:num w:numId="8">
    <w:abstractNumId w:val="0"/>
  </w:num>
  <w:num w:numId="9">
    <w:abstractNumId w:val="0"/>
  </w:num>
  <w:num w:numId="10">
    <w:abstractNumId w:val="5"/>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42E1"/>
    <w:rsid w:val="000209A5"/>
    <w:rsid w:val="00023233"/>
    <w:rsid w:val="0002416D"/>
    <w:rsid w:val="00024D17"/>
    <w:rsid w:val="000275C3"/>
    <w:rsid w:val="00036F1D"/>
    <w:rsid w:val="000370CA"/>
    <w:rsid w:val="00041836"/>
    <w:rsid w:val="0005746D"/>
    <w:rsid w:val="00076761"/>
    <w:rsid w:val="00084001"/>
    <w:rsid w:val="00090BC0"/>
    <w:rsid w:val="0009656F"/>
    <w:rsid w:val="000978E6"/>
    <w:rsid w:val="000B3A5B"/>
    <w:rsid w:val="000C41B7"/>
    <w:rsid w:val="000C48A3"/>
    <w:rsid w:val="000D6479"/>
    <w:rsid w:val="000E11FF"/>
    <w:rsid w:val="000E1ADB"/>
    <w:rsid w:val="000E3CAB"/>
    <w:rsid w:val="000F5744"/>
    <w:rsid w:val="000F7702"/>
    <w:rsid w:val="00106E93"/>
    <w:rsid w:val="00110269"/>
    <w:rsid w:val="00110888"/>
    <w:rsid w:val="00120BED"/>
    <w:rsid w:val="00141A09"/>
    <w:rsid w:val="001444B6"/>
    <w:rsid w:val="00147482"/>
    <w:rsid w:val="00155037"/>
    <w:rsid w:val="00162BC1"/>
    <w:rsid w:val="00177002"/>
    <w:rsid w:val="00190A04"/>
    <w:rsid w:val="00191405"/>
    <w:rsid w:val="001950CA"/>
    <w:rsid w:val="001964C3"/>
    <w:rsid w:val="001C0C85"/>
    <w:rsid w:val="001D60AB"/>
    <w:rsid w:val="001E32C8"/>
    <w:rsid w:val="001F1006"/>
    <w:rsid w:val="001F1B2F"/>
    <w:rsid w:val="001F21E7"/>
    <w:rsid w:val="0021742C"/>
    <w:rsid w:val="00221171"/>
    <w:rsid w:val="00231478"/>
    <w:rsid w:val="0023209C"/>
    <w:rsid w:val="00232A45"/>
    <w:rsid w:val="00234314"/>
    <w:rsid w:val="00235F1F"/>
    <w:rsid w:val="00240BE9"/>
    <w:rsid w:val="00242313"/>
    <w:rsid w:val="00251A20"/>
    <w:rsid w:val="00262B52"/>
    <w:rsid w:val="00274662"/>
    <w:rsid w:val="00276F47"/>
    <w:rsid w:val="00291C43"/>
    <w:rsid w:val="002B7908"/>
    <w:rsid w:val="002C5731"/>
    <w:rsid w:val="002D592D"/>
    <w:rsid w:val="002E4FA6"/>
    <w:rsid w:val="002E504C"/>
    <w:rsid w:val="002E7985"/>
    <w:rsid w:val="00303B71"/>
    <w:rsid w:val="00310FCC"/>
    <w:rsid w:val="003236D3"/>
    <w:rsid w:val="0032502E"/>
    <w:rsid w:val="003268A9"/>
    <w:rsid w:val="00331629"/>
    <w:rsid w:val="0037145A"/>
    <w:rsid w:val="00371626"/>
    <w:rsid w:val="003825FD"/>
    <w:rsid w:val="0038706C"/>
    <w:rsid w:val="00392700"/>
    <w:rsid w:val="00392E3C"/>
    <w:rsid w:val="00393E6B"/>
    <w:rsid w:val="003A057E"/>
    <w:rsid w:val="003A5DDC"/>
    <w:rsid w:val="003D281E"/>
    <w:rsid w:val="00400236"/>
    <w:rsid w:val="00421F9B"/>
    <w:rsid w:val="00430CCD"/>
    <w:rsid w:val="00430D10"/>
    <w:rsid w:val="0043312D"/>
    <w:rsid w:val="00434ED1"/>
    <w:rsid w:val="00435270"/>
    <w:rsid w:val="004413C4"/>
    <w:rsid w:val="00460873"/>
    <w:rsid w:val="00470086"/>
    <w:rsid w:val="0047013C"/>
    <w:rsid w:val="00470695"/>
    <w:rsid w:val="004758A0"/>
    <w:rsid w:val="00477C0D"/>
    <w:rsid w:val="0048370D"/>
    <w:rsid w:val="00491E42"/>
    <w:rsid w:val="004A0928"/>
    <w:rsid w:val="004A4D49"/>
    <w:rsid w:val="004C215A"/>
    <w:rsid w:val="004D0AFF"/>
    <w:rsid w:val="004D7F95"/>
    <w:rsid w:val="004E1C37"/>
    <w:rsid w:val="004F3B18"/>
    <w:rsid w:val="004F52F6"/>
    <w:rsid w:val="005054AE"/>
    <w:rsid w:val="00514D9C"/>
    <w:rsid w:val="00547AC0"/>
    <w:rsid w:val="00566D80"/>
    <w:rsid w:val="00570120"/>
    <w:rsid w:val="0057474B"/>
    <w:rsid w:val="005768CA"/>
    <w:rsid w:val="00594C4F"/>
    <w:rsid w:val="0059527D"/>
    <w:rsid w:val="005B12E0"/>
    <w:rsid w:val="005C2570"/>
    <w:rsid w:val="005D4887"/>
    <w:rsid w:val="005E78BF"/>
    <w:rsid w:val="005F4D24"/>
    <w:rsid w:val="00606429"/>
    <w:rsid w:val="00611212"/>
    <w:rsid w:val="0061121D"/>
    <w:rsid w:val="00614257"/>
    <w:rsid w:val="00617B7D"/>
    <w:rsid w:val="00620175"/>
    <w:rsid w:val="00630C65"/>
    <w:rsid w:val="00647869"/>
    <w:rsid w:val="0065579D"/>
    <w:rsid w:val="00664A90"/>
    <w:rsid w:val="006820F6"/>
    <w:rsid w:val="00682992"/>
    <w:rsid w:val="00695EBA"/>
    <w:rsid w:val="006B356B"/>
    <w:rsid w:val="006C4A2A"/>
    <w:rsid w:val="006D67AC"/>
    <w:rsid w:val="00726A33"/>
    <w:rsid w:val="00726F49"/>
    <w:rsid w:val="00744044"/>
    <w:rsid w:val="007501EF"/>
    <w:rsid w:val="007538DE"/>
    <w:rsid w:val="007631BE"/>
    <w:rsid w:val="00776886"/>
    <w:rsid w:val="00780461"/>
    <w:rsid w:val="00784535"/>
    <w:rsid w:val="00784624"/>
    <w:rsid w:val="007870B5"/>
    <w:rsid w:val="00794ADA"/>
    <w:rsid w:val="007B3F6A"/>
    <w:rsid w:val="007C65C6"/>
    <w:rsid w:val="007D4992"/>
    <w:rsid w:val="007E5A91"/>
    <w:rsid w:val="00837FDA"/>
    <w:rsid w:val="00850E63"/>
    <w:rsid w:val="00860E75"/>
    <w:rsid w:val="0086748B"/>
    <w:rsid w:val="0086772C"/>
    <w:rsid w:val="00872895"/>
    <w:rsid w:val="008749F2"/>
    <w:rsid w:val="00874EA8"/>
    <w:rsid w:val="0088435B"/>
    <w:rsid w:val="0088558D"/>
    <w:rsid w:val="008A5859"/>
    <w:rsid w:val="008C5959"/>
    <w:rsid w:val="008C5B06"/>
    <w:rsid w:val="008D089D"/>
    <w:rsid w:val="008E13F0"/>
    <w:rsid w:val="0090038A"/>
    <w:rsid w:val="009135C0"/>
    <w:rsid w:val="0091389A"/>
    <w:rsid w:val="009152EC"/>
    <w:rsid w:val="00927DA0"/>
    <w:rsid w:val="00955F40"/>
    <w:rsid w:val="00964C0A"/>
    <w:rsid w:val="009679BA"/>
    <w:rsid w:val="00967F11"/>
    <w:rsid w:val="009726C2"/>
    <w:rsid w:val="00974102"/>
    <w:rsid w:val="009A42E1"/>
    <w:rsid w:val="009B3920"/>
    <w:rsid w:val="009F60BA"/>
    <w:rsid w:val="00A11950"/>
    <w:rsid w:val="00A33371"/>
    <w:rsid w:val="00A3343E"/>
    <w:rsid w:val="00A54E60"/>
    <w:rsid w:val="00A627EC"/>
    <w:rsid w:val="00A71FC7"/>
    <w:rsid w:val="00A73A1F"/>
    <w:rsid w:val="00A7718B"/>
    <w:rsid w:val="00A965B3"/>
    <w:rsid w:val="00AB4D9C"/>
    <w:rsid w:val="00AB5D0A"/>
    <w:rsid w:val="00AC46F3"/>
    <w:rsid w:val="00AD000C"/>
    <w:rsid w:val="00AE2D5D"/>
    <w:rsid w:val="00AE4760"/>
    <w:rsid w:val="00AF2458"/>
    <w:rsid w:val="00AF2D69"/>
    <w:rsid w:val="00B00A2D"/>
    <w:rsid w:val="00B210B1"/>
    <w:rsid w:val="00B22A06"/>
    <w:rsid w:val="00B34EDD"/>
    <w:rsid w:val="00B50BB4"/>
    <w:rsid w:val="00B92AE2"/>
    <w:rsid w:val="00B93315"/>
    <w:rsid w:val="00B953FB"/>
    <w:rsid w:val="00BA0408"/>
    <w:rsid w:val="00BB294B"/>
    <w:rsid w:val="00BC405F"/>
    <w:rsid w:val="00BD0744"/>
    <w:rsid w:val="00BE3F1A"/>
    <w:rsid w:val="00BF062E"/>
    <w:rsid w:val="00BF3791"/>
    <w:rsid w:val="00C032F0"/>
    <w:rsid w:val="00C03AEC"/>
    <w:rsid w:val="00C06BEA"/>
    <w:rsid w:val="00C133FB"/>
    <w:rsid w:val="00C15BAD"/>
    <w:rsid w:val="00C173C5"/>
    <w:rsid w:val="00C21CA8"/>
    <w:rsid w:val="00C271D5"/>
    <w:rsid w:val="00C4185D"/>
    <w:rsid w:val="00C42A3C"/>
    <w:rsid w:val="00C635EC"/>
    <w:rsid w:val="00C66F1E"/>
    <w:rsid w:val="00CA07C2"/>
    <w:rsid w:val="00CE5EA0"/>
    <w:rsid w:val="00CF292C"/>
    <w:rsid w:val="00D235B7"/>
    <w:rsid w:val="00D23FCF"/>
    <w:rsid w:val="00D25D1B"/>
    <w:rsid w:val="00D44BC6"/>
    <w:rsid w:val="00D47B63"/>
    <w:rsid w:val="00D53E38"/>
    <w:rsid w:val="00D6104C"/>
    <w:rsid w:val="00D67EFC"/>
    <w:rsid w:val="00D71DAA"/>
    <w:rsid w:val="00D81356"/>
    <w:rsid w:val="00D83F96"/>
    <w:rsid w:val="00D90CAE"/>
    <w:rsid w:val="00DA2147"/>
    <w:rsid w:val="00DC6511"/>
    <w:rsid w:val="00DC744C"/>
    <w:rsid w:val="00DD1A4A"/>
    <w:rsid w:val="00DD3834"/>
    <w:rsid w:val="00DE6CDF"/>
    <w:rsid w:val="00DF285A"/>
    <w:rsid w:val="00DF2AA9"/>
    <w:rsid w:val="00DF5938"/>
    <w:rsid w:val="00E21F2B"/>
    <w:rsid w:val="00E24F2A"/>
    <w:rsid w:val="00E25637"/>
    <w:rsid w:val="00E25FCD"/>
    <w:rsid w:val="00E348C1"/>
    <w:rsid w:val="00E43B55"/>
    <w:rsid w:val="00E5415D"/>
    <w:rsid w:val="00E62C7A"/>
    <w:rsid w:val="00E65A52"/>
    <w:rsid w:val="00E6760E"/>
    <w:rsid w:val="00E745AE"/>
    <w:rsid w:val="00E77ED8"/>
    <w:rsid w:val="00E9001D"/>
    <w:rsid w:val="00E97E09"/>
    <w:rsid w:val="00EA1387"/>
    <w:rsid w:val="00EC3872"/>
    <w:rsid w:val="00EC6F07"/>
    <w:rsid w:val="00EC7476"/>
    <w:rsid w:val="00ED417E"/>
    <w:rsid w:val="00ED5844"/>
    <w:rsid w:val="00EE2FAA"/>
    <w:rsid w:val="00EF15A8"/>
    <w:rsid w:val="00EF65A1"/>
    <w:rsid w:val="00F14190"/>
    <w:rsid w:val="00F451F9"/>
    <w:rsid w:val="00F6016D"/>
    <w:rsid w:val="00F61694"/>
    <w:rsid w:val="00F80590"/>
    <w:rsid w:val="00F96656"/>
    <w:rsid w:val="00FC2AC9"/>
    <w:rsid w:val="00FC30FA"/>
    <w:rsid w:val="00FC75C1"/>
    <w:rsid w:val="00FD595C"/>
    <w:rsid w:val="00FE1B85"/>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6BD99E6D-B270-453A-8B87-844934E7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94B"/>
    <w:pPr>
      <w:spacing w:after="0" w:line="240" w:lineRule="auto"/>
      <w:ind w:left="720"/>
    </w:pPr>
    <w:rPr>
      <w:rFonts w:ascii="Calibri" w:hAnsi="Calibri" w:cs="Calibri"/>
    </w:rPr>
  </w:style>
  <w:style w:type="paragraph" w:styleId="BalloonText">
    <w:name w:val="Balloon Text"/>
    <w:basedOn w:val="Normal"/>
    <w:link w:val="BalloonTextChar"/>
    <w:uiPriority w:val="99"/>
    <w:semiHidden/>
    <w:unhideWhenUsed/>
    <w:rsid w:val="00AF2D6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2D69"/>
    <w:rPr>
      <w:rFonts w:ascii="Segoe UI" w:hAnsi="Segoe UI" w:cs="Segoe UI"/>
      <w:sz w:val="18"/>
      <w:szCs w:val="18"/>
    </w:rPr>
  </w:style>
  <w:style w:type="character" w:customStyle="1" w:styleId="apple-converted-space">
    <w:name w:val="apple-converted-space"/>
    <w:basedOn w:val="DefaultParagraphFont"/>
    <w:rsid w:val="00F61694"/>
  </w:style>
  <w:style w:type="paragraph" w:styleId="NormalWeb">
    <w:name w:val="Normal (Web)"/>
    <w:basedOn w:val="Normal"/>
    <w:uiPriority w:val="99"/>
    <w:semiHidden/>
    <w:unhideWhenUsed/>
    <w:rsid w:val="00F61694"/>
    <w:pPr>
      <w:spacing w:before="100" w:beforeAutospacing="1" w:after="100" w:afterAutospacing="1" w:line="240" w:lineRule="auto"/>
    </w:pPr>
    <w:rPr>
      <w:rFonts w:ascii="Times New Roman" w:eastAsia="Times New Roman" w:hAnsi="Times New Roman" w:cs="Times New Roman"/>
      <w:sz w:val="24"/>
      <w:szCs w:val="24"/>
      <w:lang w:eastAsia="en-IE"/>
    </w:rPr>
  </w:style>
  <w:style w:type="character" w:styleId="Emphasis">
    <w:name w:val="Emphasis"/>
    <w:basedOn w:val="DefaultParagraphFont"/>
    <w:uiPriority w:val="20"/>
    <w:qFormat/>
    <w:rsid w:val="00F61694"/>
    <w:rPr>
      <w:i/>
      <w:iCs/>
    </w:rPr>
  </w:style>
  <w:style w:type="paragraph" w:customStyle="1" w:styleId="Default">
    <w:name w:val="Default"/>
    <w:rsid w:val="00927DA0"/>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C2AC9"/>
    <w:pPr>
      <w:tabs>
        <w:tab w:val="center" w:pos="4513"/>
        <w:tab w:val="right" w:pos="9026"/>
      </w:tabs>
      <w:spacing w:after="0" w:line="240" w:lineRule="auto"/>
    </w:pPr>
  </w:style>
  <w:style w:type="character" w:customStyle="1" w:styleId="HeaderChar">
    <w:name w:val="Header Char"/>
    <w:basedOn w:val="DefaultParagraphFont"/>
    <w:link w:val="Header"/>
    <w:uiPriority w:val="99"/>
    <w:rsid w:val="00FC2AC9"/>
  </w:style>
  <w:style w:type="paragraph" w:styleId="Footer">
    <w:name w:val="footer"/>
    <w:basedOn w:val="Normal"/>
    <w:link w:val="FooterChar"/>
    <w:uiPriority w:val="99"/>
    <w:unhideWhenUsed/>
    <w:rsid w:val="00FC2AC9"/>
    <w:pPr>
      <w:tabs>
        <w:tab w:val="center" w:pos="4513"/>
        <w:tab w:val="right" w:pos="9026"/>
      </w:tabs>
      <w:spacing w:after="0" w:line="240" w:lineRule="auto"/>
    </w:pPr>
  </w:style>
  <w:style w:type="character" w:customStyle="1" w:styleId="FooterChar">
    <w:name w:val="Footer Char"/>
    <w:basedOn w:val="DefaultParagraphFont"/>
    <w:link w:val="Footer"/>
    <w:uiPriority w:val="99"/>
    <w:rsid w:val="00FC2AC9"/>
  </w:style>
  <w:style w:type="paragraph" w:styleId="FootnoteText">
    <w:name w:val="footnote text"/>
    <w:basedOn w:val="Normal"/>
    <w:link w:val="FootnoteTextChar"/>
    <w:uiPriority w:val="99"/>
    <w:semiHidden/>
    <w:unhideWhenUsed/>
    <w:rsid w:val="00566D8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66D80"/>
    <w:rPr>
      <w:sz w:val="20"/>
      <w:szCs w:val="20"/>
    </w:rPr>
  </w:style>
  <w:style w:type="character" w:styleId="FootnoteReference">
    <w:name w:val="footnote reference"/>
    <w:basedOn w:val="DefaultParagraphFont"/>
    <w:uiPriority w:val="99"/>
    <w:semiHidden/>
    <w:unhideWhenUsed/>
    <w:rsid w:val="00566D80"/>
    <w:rPr>
      <w:vertAlign w:val="superscript"/>
    </w:rPr>
  </w:style>
  <w:style w:type="character" w:styleId="Hyperlink">
    <w:name w:val="Hyperlink"/>
    <w:basedOn w:val="DefaultParagraphFont"/>
    <w:uiPriority w:val="99"/>
    <w:semiHidden/>
    <w:unhideWhenUsed/>
    <w:rsid w:val="0009656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4048154">
      <w:bodyDiv w:val="1"/>
      <w:marLeft w:val="0"/>
      <w:marRight w:val="0"/>
      <w:marTop w:val="0"/>
      <w:marBottom w:val="0"/>
      <w:divBdr>
        <w:top w:val="none" w:sz="0" w:space="0" w:color="auto"/>
        <w:left w:val="none" w:sz="0" w:space="0" w:color="auto"/>
        <w:bottom w:val="none" w:sz="0" w:space="0" w:color="auto"/>
        <w:right w:val="none" w:sz="0" w:space="0" w:color="auto"/>
      </w:divBdr>
    </w:div>
    <w:div w:id="317152368">
      <w:bodyDiv w:val="1"/>
      <w:marLeft w:val="0"/>
      <w:marRight w:val="0"/>
      <w:marTop w:val="0"/>
      <w:marBottom w:val="0"/>
      <w:divBdr>
        <w:top w:val="none" w:sz="0" w:space="0" w:color="auto"/>
        <w:left w:val="none" w:sz="0" w:space="0" w:color="auto"/>
        <w:bottom w:val="none" w:sz="0" w:space="0" w:color="auto"/>
        <w:right w:val="none" w:sz="0" w:space="0" w:color="auto"/>
      </w:divBdr>
    </w:div>
    <w:div w:id="536937178">
      <w:bodyDiv w:val="1"/>
      <w:marLeft w:val="0"/>
      <w:marRight w:val="0"/>
      <w:marTop w:val="0"/>
      <w:marBottom w:val="0"/>
      <w:divBdr>
        <w:top w:val="none" w:sz="0" w:space="0" w:color="auto"/>
        <w:left w:val="none" w:sz="0" w:space="0" w:color="auto"/>
        <w:bottom w:val="none" w:sz="0" w:space="0" w:color="auto"/>
        <w:right w:val="none" w:sz="0" w:space="0" w:color="auto"/>
      </w:divBdr>
    </w:div>
    <w:div w:id="789400745">
      <w:bodyDiv w:val="1"/>
      <w:marLeft w:val="0"/>
      <w:marRight w:val="0"/>
      <w:marTop w:val="0"/>
      <w:marBottom w:val="0"/>
      <w:divBdr>
        <w:top w:val="none" w:sz="0" w:space="0" w:color="auto"/>
        <w:left w:val="none" w:sz="0" w:space="0" w:color="auto"/>
        <w:bottom w:val="none" w:sz="0" w:space="0" w:color="auto"/>
        <w:right w:val="none" w:sz="0" w:space="0" w:color="auto"/>
      </w:divBdr>
    </w:div>
    <w:div w:id="1220441607">
      <w:bodyDiv w:val="1"/>
      <w:marLeft w:val="0"/>
      <w:marRight w:val="0"/>
      <w:marTop w:val="0"/>
      <w:marBottom w:val="0"/>
      <w:divBdr>
        <w:top w:val="none" w:sz="0" w:space="0" w:color="auto"/>
        <w:left w:val="none" w:sz="0" w:space="0" w:color="auto"/>
        <w:bottom w:val="none" w:sz="0" w:space="0" w:color="auto"/>
        <w:right w:val="none" w:sz="0" w:space="0" w:color="auto"/>
      </w:divBdr>
    </w:div>
    <w:div w:id="1263605723">
      <w:bodyDiv w:val="1"/>
      <w:marLeft w:val="0"/>
      <w:marRight w:val="0"/>
      <w:marTop w:val="0"/>
      <w:marBottom w:val="0"/>
      <w:divBdr>
        <w:top w:val="none" w:sz="0" w:space="0" w:color="auto"/>
        <w:left w:val="none" w:sz="0" w:space="0" w:color="auto"/>
        <w:bottom w:val="none" w:sz="0" w:space="0" w:color="auto"/>
        <w:right w:val="none" w:sz="0" w:space="0" w:color="auto"/>
      </w:divBdr>
    </w:div>
    <w:div w:id="1639989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8AE8E9-9AB6-4DA1-B2D8-702DAB7CDA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3033</Words>
  <Characters>17292</Characters>
  <Application>Microsoft Office Word</Application>
  <DocSecurity>0</DocSecurity>
  <Lines>144</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Gavin Murphy</dc:creator>
  <cp:keywords/>
  <dc:description/>
  <cp:lastModifiedBy>David Hegarty</cp:lastModifiedBy>
  <cp:revision>4</cp:revision>
  <cp:lastPrinted>2015-01-12T17:22:00Z</cp:lastPrinted>
  <dcterms:created xsi:type="dcterms:W3CDTF">2015-01-15T11:46:00Z</dcterms:created>
  <dcterms:modified xsi:type="dcterms:W3CDTF">2015-01-15T12:07:00Z</dcterms:modified>
</cp:coreProperties>
</file>