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6C81" w:rsidRDefault="00177181">
      <w:r>
        <w:t>Economics and Planning Division,</w:t>
      </w:r>
    </w:p>
    <w:p w:rsidR="00177181" w:rsidRDefault="00177181">
      <w:r>
        <w:t>Department of Agriculture, Food and the Marine,</w:t>
      </w:r>
    </w:p>
    <w:p w:rsidR="00177181" w:rsidRDefault="00177181">
      <w:r>
        <w:t>Agriculture House,</w:t>
      </w:r>
    </w:p>
    <w:p w:rsidR="00177181" w:rsidRDefault="00177181">
      <w:r>
        <w:t>Kildare Street,</w:t>
      </w:r>
    </w:p>
    <w:p w:rsidR="00177181" w:rsidRDefault="00177181">
      <w:r>
        <w:t>Dublin 2.</w:t>
      </w:r>
    </w:p>
    <w:p w:rsidR="00177181" w:rsidRDefault="00177181"/>
    <w:p w:rsidR="00177181" w:rsidRDefault="00177181">
      <w:r>
        <w:t>8</w:t>
      </w:r>
      <w:r w:rsidRPr="00177181">
        <w:rPr>
          <w:vertAlign w:val="superscript"/>
        </w:rPr>
        <w:t>th</w:t>
      </w:r>
      <w:r>
        <w:t xml:space="preserve"> May 2015</w:t>
      </w:r>
    </w:p>
    <w:p w:rsidR="00177181" w:rsidRDefault="00177181"/>
    <w:p w:rsidR="00177181" w:rsidRPr="00177181" w:rsidRDefault="00177181" w:rsidP="00177181">
      <w:pPr>
        <w:jc w:val="center"/>
        <w:rPr>
          <w:b/>
        </w:rPr>
      </w:pPr>
      <w:r w:rsidRPr="00177181">
        <w:rPr>
          <w:b/>
        </w:rPr>
        <w:t>Re: Consultation for Scoping of Environmental Report for Agri-Food Strategy 2025</w:t>
      </w:r>
    </w:p>
    <w:p w:rsidR="00177181" w:rsidRDefault="00177181" w:rsidP="00872865">
      <w:pPr>
        <w:jc w:val="both"/>
      </w:pPr>
    </w:p>
    <w:p w:rsidR="00177181" w:rsidRDefault="00177181" w:rsidP="00872865">
      <w:pPr>
        <w:jc w:val="both"/>
      </w:pPr>
      <w:r>
        <w:t>To whom it may concern,</w:t>
      </w:r>
    </w:p>
    <w:p w:rsidR="00177181" w:rsidRDefault="00BC6975" w:rsidP="00872865">
      <w:pPr>
        <w:jc w:val="both"/>
      </w:pPr>
      <w:r>
        <w:t xml:space="preserve">The Irish Co-operative Organisation Society Ltd </w:t>
      </w:r>
      <w:r w:rsidR="00CB0914">
        <w:t xml:space="preserve">(ICOS) </w:t>
      </w:r>
      <w:r>
        <w:t xml:space="preserve">welcomes the opportunity to </w:t>
      </w:r>
      <w:r w:rsidR="00CB7267">
        <w:t xml:space="preserve">provide </w:t>
      </w:r>
      <w:r w:rsidR="002777F8">
        <w:t xml:space="preserve">some brief </w:t>
      </w:r>
      <w:r w:rsidR="00CB7267">
        <w:t>observations on the scoping phase of the development of a Strategic Environment Assessment (SEA) of the Draft Agri-Food Strategy 2025.</w:t>
      </w:r>
    </w:p>
    <w:p w:rsidR="00930471" w:rsidRDefault="00CB7267" w:rsidP="00872865">
      <w:pPr>
        <w:jc w:val="both"/>
      </w:pPr>
      <w:r>
        <w:t xml:space="preserve">The Issues Paper </w:t>
      </w:r>
      <w:r w:rsidR="00B21087">
        <w:t>distributed to participants at the Scoping Workshop held on Thursday 9</w:t>
      </w:r>
      <w:r w:rsidR="00B21087" w:rsidRPr="00B21087">
        <w:rPr>
          <w:vertAlign w:val="superscript"/>
        </w:rPr>
        <w:t>th</w:t>
      </w:r>
      <w:r w:rsidR="0013175D">
        <w:t xml:space="preserve"> of April 2015 states</w:t>
      </w:r>
      <w:r w:rsidR="00B21087">
        <w:t xml:space="preserve"> that "the greatest challenge to Agri Food Strategy 2025 will undoubtedly be the question of Greenhouse Gas (GHG) emissions.”</w:t>
      </w:r>
      <w:r w:rsidR="00B21087">
        <w:rPr>
          <w:rStyle w:val="FootnoteReference"/>
        </w:rPr>
        <w:footnoteReference w:id="1"/>
      </w:r>
      <w:r w:rsidR="00CB0914">
        <w:t xml:space="preserve"> </w:t>
      </w:r>
    </w:p>
    <w:p w:rsidR="00503CB8" w:rsidRDefault="002777F8" w:rsidP="00872865">
      <w:pPr>
        <w:jc w:val="both"/>
      </w:pPr>
      <w:r>
        <w:t xml:space="preserve">ICOS recognises that this is indeed a </w:t>
      </w:r>
      <w:r w:rsidR="0013175D">
        <w:t>significant</w:t>
      </w:r>
      <w:bookmarkStart w:id="0" w:name="_GoBack"/>
      <w:bookmarkEnd w:id="0"/>
      <w:r w:rsidR="00D87BA1">
        <w:t xml:space="preserve"> challenge and through its C</w:t>
      </w:r>
      <w:r>
        <w:t xml:space="preserve">o-operative members is willing to develop sustainable and lasting solutions. That said, the issue of greenhouse gas emissions and agriculture </w:t>
      </w:r>
      <w:r w:rsidR="00CB0914">
        <w:t>is</w:t>
      </w:r>
      <w:r w:rsidR="00503CB8">
        <w:t xml:space="preserve"> both complex and multi-faceted.</w:t>
      </w:r>
    </w:p>
    <w:p w:rsidR="00930471" w:rsidRDefault="002777F8" w:rsidP="00872865">
      <w:pPr>
        <w:jc w:val="both"/>
      </w:pPr>
      <w:r>
        <w:t>A</w:t>
      </w:r>
      <w:r w:rsidR="00930471">
        <w:t xml:space="preserve"> broad based approach to assessing the mitigati</w:t>
      </w:r>
      <w:r w:rsidR="00776EE9">
        <w:t>on potential of</w:t>
      </w:r>
      <w:r w:rsidR="00930471">
        <w:t xml:space="preserve"> the agriculture a</w:t>
      </w:r>
      <w:r w:rsidR="00776EE9">
        <w:t xml:space="preserve">nd wider land use sector is required within </w:t>
      </w:r>
      <w:r w:rsidR="00C76681">
        <w:t>the SEA, consistent with the decision of the European Council conclusions from 23-24 October 2014.</w:t>
      </w:r>
      <w:r w:rsidR="00C76681">
        <w:rPr>
          <w:rStyle w:val="FootnoteReference"/>
        </w:rPr>
        <w:footnoteReference w:id="2"/>
      </w:r>
    </w:p>
    <w:p w:rsidR="009F0CD7" w:rsidRDefault="00776EE9" w:rsidP="00872865">
      <w:pPr>
        <w:jc w:val="both"/>
      </w:pPr>
      <w:r>
        <w:t>The scope of the SEA when assessing the issue of greenhous</w:t>
      </w:r>
      <w:r w:rsidR="00123B26">
        <w:t>e gas emissions and agriculture needs to recognise the limited mitigation potential within the</w:t>
      </w:r>
      <w:r w:rsidR="009F0CD7">
        <w:t xml:space="preserve"> overall agricultural</w:t>
      </w:r>
      <w:r w:rsidR="00123B26">
        <w:t xml:space="preserve"> sector. </w:t>
      </w:r>
      <w:r w:rsidR="009F0CD7">
        <w:t>The Teagasc Marginal Abatement Cost Curve has identified 1.1 Mt CO</w:t>
      </w:r>
      <w:r w:rsidR="009F0CD7" w:rsidRPr="0013175D">
        <w:rPr>
          <w:sz w:val="16"/>
          <w:szCs w:val="16"/>
        </w:rPr>
        <w:t>2</w:t>
      </w:r>
      <w:r w:rsidR="009F0CD7">
        <w:t xml:space="preserve"> abatement potential by 2020 and Teagasc has identified carbon neutrality has a long term objective</w:t>
      </w:r>
      <w:r w:rsidR="00716D60">
        <w:rPr>
          <w:rStyle w:val="FootnoteReference"/>
        </w:rPr>
        <w:footnoteReference w:id="3"/>
      </w:r>
      <w:r w:rsidR="009F0CD7">
        <w:t xml:space="preserve">. </w:t>
      </w:r>
    </w:p>
    <w:p w:rsidR="00776EE9" w:rsidRDefault="009F0CD7" w:rsidP="00872865">
      <w:pPr>
        <w:jc w:val="both"/>
      </w:pPr>
      <w:r>
        <w:t xml:space="preserve">This is not to say that </w:t>
      </w:r>
      <w:r w:rsidR="004C5B09">
        <w:t xml:space="preserve">Irish </w:t>
      </w:r>
      <w:r>
        <w:t xml:space="preserve">agriculture </w:t>
      </w:r>
      <w:r w:rsidR="000B051A">
        <w:t xml:space="preserve">will </w:t>
      </w:r>
      <w:r w:rsidR="00983D97">
        <w:t xml:space="preserve">neglect </w:t>
      </w:r>
      <w:r>
        <w:t xml:space="preserve">its obligation </w:t>
      </w:r>
      <w:r w:rsidR="004C5B09">
        <w:t>in terms of reducing</w:t>
      </w:r>
      <w:r>
        <w:t xml:space="preserve"> greenhouse gas emissions. Central to achieving the objective of carbon </w:t>
      </w:r>
      <w:r w:rsidR="000B051A">
        <w:t>neutrality in the long term</w:t>
      </w:r>
      <w:r>
        <w:t xml:space="preserve"> </w:t>
      </w:r>
      <w:r w:rsidR="0013175D">
        <w:t xml:space="preserve">are significant efficiencies at farm level </w:t>
      </w:r>
      <w:r w:rsidR="000B051A">
        <w:t xml:space="preserve">such as better breeding, more efficient fertilizer use and better grassland management and utilisation. The Common Agricultural Policy will </w:t>
      </w:r>
      <w:r w:rsidR="00642813">
        <w:t xml:space="preserve">also </w:t>
      </w:r>
      <w:r w:rsidR="000B051A">
        <w:t>underpin these e</w:t>
      </w:r>
      <w:r w:rsidR="00642813">
        <w:t>fforts through greening</w:t>
      </w:r>
      <w:r w:rsidR="0013175D">
        <w:t xml:space="preserve"> requirements</w:t>
      </w:r>
      <w:r w:rsidR="000B051A">
        <w:t>, cross compliance</w:t>
      </w:r>
      <w:r w:rsidR="004C5B09">
        <w:t xml:space="preserve"> with EU environmental legislation</w:t>
      </w:r>
      <w:r w:rsidR="000B051A">
        <w:t xml:space="preserve"> and rural development measures.</w:t>
      </w:r>
    </w:p>
    <w:p w:rsidR="007814B5" w:rsidRDefault="000B051A" w:rsidP="00872865">
      <w:pPr>
        <w:jc w:val="both"/>
      </w:pPr>
      <w:r>
        <w:lastRenderedPageBreak/>
        <w:t xml:space="preserve">ICOS believes </w:t>
      </w:r>
      <w:r w:rsidR="007814B5">
        <w:t>that a</w:t>
      </w:r>
      <w:r w:rsidR="007814B5" w:rsidRPr="007814B5">
        <w:t xml:space="preserve"> </w:t>
      </w:r>
      <w:r w:rsidR="007814B5">
        <w:t xml:space="preserve">complete and holistic picture of the </w:t>
      </w:r>
      <w:r w:rsidR="00983D97">
        <w:t>impact</w:t>
      </w:r>
      <w:r w:rsidR="007814B5">
        <w:t xml:space="preserve"> of agricult</w:t>
      </w:r>
      <w:r w:rsidR="00983D97">
        <w:t xml:space="preserve">ure on global warming </w:t>
      </w:r>
      <w:r w:rsidR="007814B5">
        <w:t xml:space="preserve">in terms of contribution as well as mitigation is required. As such, the </w:t>
      </w:r>
      <w:r>
        <w:t xml:space="preserve">SEA must </w:t>
      </w:r>
      <w:r w:rsidR="00FF4507">
        <w:t xml:space="preserve">also </w:t>
      </w:r>
      <w:r w:rsidR="007814B5">
        <w:t xml:space="preserve">examine within its scope, the </w:t>
      </w:r>
      <w:r>
        <w:t>carbon sequestra</w:t>
      </w:r>
      <w:r w:rsidR="007814B5">
        <w:t xml:space="preserve">tion potential of </w:t>
      </w:r>
      <w:r w:rsidR="00642813">
        <w:t xml:space="preserve">the </w:t>
      </w:r>
      <w:r w:rsidR="009F0CD7">
        <w:t xml:space="preserve">land use </w:t>
      </w:r>
      <w:r w:rsidR="00642813">
        <w:t xml:space="preserve">sector </w:t>
      </w:r>
      <w:r w:rsidR="007814B5">
        <w:t>including</w:t>
      </w:r>
      <w:r w:rsidR="009F0CD7">
        <w:t xml:space="preserve"> f</w:t>
      </w:r>
      <w:r w:rsidR="00776EE9">
        <w:t xml:space="preserve">orestry, </w:t>
      </w:r>
      <w:r>
        <w:t>peatland</w:t>
      </w:r>
      <w:r w:rsidR="00776EE9">
        <w:t xml:space="preserve"> and permanent grassland.</w:t>
      </w:r>
      <w:r>
        <w:t xml:space="preserve"> </w:t>
      </w:r>
      <w:r w:rsidR="00FF4507">
        <w:t xml:space="preserve"> </w:t>
      </w:r>
    </w:p>
    <w:p w:rsidR="00642813" w:rsidRDefault="00FF4507" w:rsidP="00872865">
      <w:pPr>
        <w:jc w:val="both"/>
      </w:pPr>
      <w:r>
        <w:t>The Issues Paper correctly points out that Ireland is among the most carbon efficient in the EU</w:t>
      </w:r>
      <w:r w:rsidR="00983D97">
        <w:t>,</w:t>
      </w:r>
      <w:r>
        <w:t xml:space="preserve"> in terms of agricultural production</w:t>
      </w:r>
      <w:r>
        <w:rPr>
          <w:rStyle w:val="FootnoteReference"/>
        </w:rPr>
        <w:footnoteReference w:id="4"/>
      </w:r>
      <w:r>
        <w:t>. This position is supported by research carried out by the EU’s Joint Research Centre</w:t>
      </w:r>
      <w:r w:rsidR="00716D60">
        <w:rPr>
          <w:rStyle w:val="FootnoteReference"/>
        </w:rPr>
        <w:footnoteReference w:id="5"/>
      </w:r>
      <w:r>
        <w:t xml:space="preserve"> and the UN’s Food and Agriculture Organisation</w:t>
      </w:r>
      <w:r w:rsidR="00716D60">
        <w:rPr>
          <w:rStyle w:val="FootnoteReference"/>
        </w:rPr>
        <w:footnoteReference w:id="6"/>
      </w:r>
      <w:r>
        <w:t xml:space="preserve">. </w:t>
      </w:r>
      <w:r w:rsidR="007814B5">
        <w:t xml:space="preserve"> </w:t>
      </w:r>
      <w:r>
        <w:t xml:space="preserve">The SEA must </w:t>
      </w:r>
      <w:r w:rsidR="004C5B09">
        <w:t xml:space="preserve">also </w:t>
      </w:r>
      <w:r>
        <w:t xml:space="preserve">recognise the </w:t>
      </w:r>
      <w:r w:rsidR="007814B5">
        <w:t xml:space="preserve">inherent </w:t>
      </w:r>
      <w:r>
        <w:t xml:space="preserve">threat of carbon leakage, whereby </w:t>
      </w:r>
      <w:r w:rsidR="007814B5">
        <w:t>food production may</w:t>
      </w:r>
      <w:r w:rsidR="00D87BA1">
        <w:t xml:space="preserve"> </w:t>
      </w:r>
      <w:r w:rsidR="007814B5">
        <w:t xml:space="preserve">be </w:t>
      </w:r>
      <w:r w:rsidR="00642813">
        <w:t>displaced to less environmentally efficient locations</w:t>
      </w:r>
      <w:r w:rsidR="004C5B09">
        <w:t>,</w:t>
      </w:r>
      <w:r w:rsidR="00642813">
        <w:t xml:space="preserve"> if blunt and unsustainable policy instruments are proposed </w:t>
      </w:r>
      <w:r w:rsidR="00716D60">
        <w:t>to deal with greenhouse gas emissions and agriculture.</w:t>
      </w:r>
    </w:p>
    <w:p w:rsidR="007814B5" w:rsidRDefault="007814B5" w:rsidP="00872865">
      <w:pPr>
        <w:jc w:val="both"/>
      </w:pPr>
      <w:r>
        <w:t>Moreover, the evolving problem of global food security cannot be ignored with global population expected to rise to 9 billion by 2050</w:t>
      </w:r>
      <w:r w:rsidR="00983D97">
        <w:t xml:space="preserve"> from 7 billion today</w:t>
      </w:r>
      <w:r w:rsidR="00F320FF">
        <w:t xml:space="preserve"> according to the OECD</w:t>
      </w:r>
      <w:r>
        <w:t>.</w:t>
      </w:r>
      <w:r w:rsidR="00F320FF">
        <w:t xml:space="preserve"> Ireland’s grass based milk, beef and lamb production systems have one of the lowest carbon footprint</w:t>
      </w:r>
      <w:r w:rsidR="00D87BA1">
        <w:t>s</w:t>
      </w:r>
      <w:r w:rsidR="00F320FF">
        <w:t xml:space="preserve"> p</w:t>
      </w:r>
      <w:r w:rsidR="00D87BA1">
        <w:t>er kg of product produced and are</w:t>
      </w:r>
      <w:r w:rsidR="00F320FF">
        <w:t xml:space="preserve"> ideally placed to address growing food demand as a global leader in environmentally sustainable food production.</w:t>
      </w:r>
    </w:p>
    <w:p w:rsidR="00006BE2" w:rsidRDefault="00CB0914" w:rsidP="00872865">
      <w:pPr>
        <w:jc w:val="both"/>
      </w:pPr>
      <w:r>
        <w:t>The abolition of milk quotas on the 1</w:t>
      </w:r>
      <w:r w:rsidRPr="00CB0914">
        <w:rPr>
          <w:vertAlign w:val="superscript"/>
        </w:rPr>
        <w:t>st</w:t>
      </w:r>
      <w:r>
        <w:t xml:space="preserve"> of April 2015 will allow the Irish dairy secto</w:t>
      </w:r>
      <w:r w:rsidR="00F320FF">
        <w:t>r to reach its true economic potential. ICOS strongly supports the guiding principle that environmental protection and economic competitiveness can be both equal and complementary.</w:t>
      </w:r>
      <w:r w:rsidR="00D87BA1">
        <w:t xml:space="preserve"> </w:t>
      </w:r>
      <w:r w:rsidR="00776EE9">
        <w:t>The sustainable intensification</w:t>
      </w:r>
      <w:r w:rsidR="00006BE2">
        <w:t xml:space="preserve"> of the Irish dairy sector over the coming years will be reinforced by the </w:t>
      </w:r>
      <w:r w:rsidR="00232CBB">
        <w:t xml:space="preserve">implementation </w:t>
      </w:r>
      <w:r w:rsidR="00006BE2">
        <w:t>of the Sustainable Dairy Assurance Scheme (SDAS)</w:t>
      </w:r>
      <w:r w:rsidR="00232CBB">
        <w:t>,</w:t>
      </w:r>
      <w:r w:rsidR="00006BE2">
        <w:t xml:space="preserve"> as par</w:t>
      </w:r>
      <w:r w:rsidR="00983D97">
        <w:t>t of the Origin Green initiative</w:t>
      </w:r>
      <w:r w:rsidR="00D87BA1">
        <w:t>.</w:t>
      </w:r>
    </w:p>
    <w:p w:rsidR="00232CBB" w:rsidRDefault="00983D97" w:rsidP="00872865">
      <w:pPr>
        <w:jc w:val="both"/>
      </w:pPr>
      <w:r>
        <w:t xml:space="preserve">In conclusion, </w:t>
      </w:r>
      <w:r w:rsidR="00232CBB">
        <w:t>ICOS</w:t>
      </w:r>
      <w:r w:rsidR="00D87BA1">
        <w:t xml:space="preserve"> </w:t>
      </w:r>
      <w:r w:rsidR="00232CBB">
        <w:t>members are deeply committed to ensuring the highest env</w:t>
      </w:r>
      <w:r w:rsidR="00D87BA1">
        <w:t>ironmental standards and comply</w:t>
      </w:r>
      <w:r w:rsidR="00232CBB">
        <w:t xml:space="preserve"> with all relevant EU and national legislat</w:t>
      </w:r>
      <w:r>
        <w:t>ion concerning the environment, air quality, biodiversity, water and public health.</w:t>
      </w:r>
    </w:p>
    <w:p w:rsidR="00232CBB" w:rsidRDefault="00232CBB" w:rsidP="00872865">
      <w:pPr>
        <w:jc w:val="both"/>
      </w:pPr>
      <w:r>
        <w:t xml:space="preserve">We look forward to </w:t>
      </w:r>
      <w:r w:rsidR="00983D97">
        <w:t>engaging further with all stakeholders on these important matters, in advance of the publication of the</w:t>
      </w:r>
      <w:r w:rsidR="00872865">
        <w:t xml:space="preserve"> SEA and the</w:t>
      </w:r>
      <w:r w:rsidR="00983D97">
        <w:t xml:space="preserve"> Draft Agri-Food Strategy 2025.</w:t>
      </w:r>
    </w:p>
    <w:p w:rsidR="004C5B09" w:rsidRDefault="004C5B09" w:rsidP="00872865">
      <w:pPr>
        <w:jc w:val="both"/>
      </w:pPr>
      <w:r>
        <w:t>Yours sincerely,</w:t>
      </w:r>
    </w:p>
    <w:p w:rsidR="004C5B09" w:rsidRDefault="00D87BA1" w:rsidP="00872865">
      <w:pPr>
        <w:jc w:val="both"/>
      </w:pPr>
      <w:r>
        <w:t>Martin Keane,</w:t>
      </w:r>
    </w:p>
    <w:p w:rsidR="00D87BA1" w:rsidRDefault="00D87BA1" w:rsidP="00872865">
      <w:pPr>
        <w:jc w:val="both"/>
      </w:pPr>
      <w:r>
        <w:t>President,</w:t>
      </w:r>
    </w:p>
    <w:p w:rsidR="00D87BA1" w:rsidRDefault="00503CB8" w:rsidP="00872865">
      <w:pPr>
        <w:jc w:val="both"/>
      </w:pPr>
      <w:r>
        <w:t>Irish Co-operative Organisation Society Ltd.</w:t>
      </w:r>
    </w:p>
    <w:p w:rsidR="00177181" w:rsidRDefault="00177181"/>
    <w:p w:rsidR="00177181" w:rsidRDefault="00177181"/>
    <w:p w:rsidR="00177181" w:rsidRDefault="00177181"/>
    <w:sectPr w:rsidR="0017718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3E15" w:rsidRDefault="002E3E15" w:rsidP="00B21087">
      <w:pPr>
        <w:spacing w:after="0" w:line="240" w:lineRule="auto"/>
      </w:pPr>
      <w:r>
        <w:separator/>
      </w:r>
    </w:p>
  </w:endnote>
  <w:endnote w:type="continuationSeparator" w:id="0">
    <w:p w:rsidR="002E3E15" w:rsidRDefault="002E3E15" w:rsidP="00B210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3E15" w:rsidRDefault="002E3E15" w:rsidP="00B21087">
      <w:pPr>
        <w:spacing w:after="0" w:line="240" w:lineRule="auto"/>
      </w:pPr>
      <w:r>
        <w:separator/>
      </w:r>
    </w:p>
  </w:footnote>
  <w:footnote w:type="continuationSeparator" w:id="0">
    <w:p w:rsidR="002E3E15" w:rsidRDefault="002E3E15" w:rsidP="00B21087">
      <w:pPr>
        <w:spacing w:after="0" w:line="240" w:lineRule="auto"/>
      </w:pPr>
      <w:r>
        <w:continuationSeparator/>
      </w:r>
    </w:p>
  </w:footnote>
  <w:footnote w:id="1">
    <w:p w:rsidR="002777F8" w:rsidRDefault="002777F8">
      <w:pPr>
        <w:pStyle w:val="FootnoteText"/>
      </w:pPr>
      <w:r>
        <w:rPr>
          <w:rStyle w:val="FootnoteReference"/>
        </w:rPr>
        <w:footnoteRef/>
      </w:r>
      <w:r>
        <w:t xml:space="preserve"> Agri-Food Strategy 2025, Strategic Environmental Assessment Issues Paper, Dr Ainhoa Gonzalez and Dr John Fry, 2</w:t>
      </w:r>
      <w:r w:rsidRPr="00B21087">
        <w:rPr>
          <w:vertAlign w:val="superscript"/>
        </w:rPr>
        <w:t>nd</w:t>
      </w:r>
      <w:r>
        <w:t xml:space="preserve"> April 2015, p</w:t>
      </w:r>
      <w:r w:rsidR="0013175D">
        <w:t>age</w:t>
      </w:r>
      <w:r>
        <w:t xml:space="preserve"> 14.</w:t>
      </w:r>
    </w:p>
  </w:footnote>
  <w:footnote w:id="2">
    <w:p w:rsidR="00C76681" w:rsidRDefault="00C76681">
      <w:pPr>
        <w:pStyle w:val="FootnoteText"/>
      </w:pPr>
      <w:r>
        <w:rPr>
          <w:rStyle w:val="FootnoteReference"/>
        </w:rPr>
        <w:footnoteRef/>
      </w:r>
      <w:r>
        <w:t xml:space="preserve"> European Council (23-24 October 2014) conclusions, paragraph 2.14.</w:t>
      </w:r>
    </w:p>
  </w:footnote>
  <w:footnote w:id="3">
    <w:p w:rsidR="00716D60" w:rsidRDefault="00716D60">
      <w:pPr>
        <w:pStyle w:val="FootnoteText"/>
      </w:pPr>
      <w:r>
        <w:rPr>
          <w:rStyle w:val="FootnoteReference"/>
        </w:rPr>
        <w:footnoteRef/>
      </w:r>
      <w:r>
        <w:t xml:space="preserve"> Carbon </w:t>
      </w:r>
      <w:r w:rsidR="004C5B09">
        <w:t>Neutrality</w:t>
      </w:r>
      <w:r>
        <w:t xml:space="preserve"> as a horizon point for Irish Agriculture: a qualitative appraisal of potential pathways to 2050</w:t>
      </w:r>
      <w:r w:rsidR="004C5B09">
        <w:t>, R.P.O. Schulte et al, Teagasc, December 2013.</w:t>
      </w:r>
    </w:p>
  </w:footnote>
  <w:footnote w:id="4">
    <w:p w:rsidR="00FF4507" w:rsidRDefault="00FF4507">
      <w:pPr>
        <w:pStyle w:val="FootnoteText"/>
      </w:pPr>
      <w:r>
        <w:rPr>
          <w:rStyle w:val="FootnoteReference"/>
        </w:rPr>
        <w:footnoteRef/>
      </w:r>
      <w:r>
        <w:t xml:space="preserve"> Agri-Food Strategy 2025, Strategic Environmental Assessment Issues Paper, Dr Ainhoa Gonzalez and Dr John Fry, 2</w:t>
      </w:r>
      <w:r w:rsidRPr="00B21087">
        <w:rPr>
          <w:vertAlign w:val="superscript"/>
        </w:rPr>
        <w:t>nd</w:t>
      </w:r>
      <w:r>
        <w:t xml:space="preserve"> April 2015, p</w:t>
      </w:r>
      <w:r w:rsidR="00232CBB">
        <w:t>a</w:t>
      </w:r>
      <w:r>
        <w:t>g</w:t>
      </w:r>
      <w:r w:rsidR="00232CBB">
        <w:t>e</w:t>
      </w:r>
      <w:r>
        <w:t xml:space="preserve"> 14</w:t>
      </w:r>
    </w:p>
  </w:footnote>
  <w:footnote w:id="5">
    <w:p w:rsidR="00716D60" w:rsidRDefault="00716D60">
      <w:pPr>
        <w:pStyle w:val="FootnoteText"/>
      </w:pPr>
      <w:r>
        <w:rPr>
          <w:rStyle w:val="FootnoteReference"/>
        </w:rPr>
        <w:footnoteRef/>
      </w:r>
      <w:r w:rsidR="00006BE2">
        <w:t xml:space="preserve">European Commission, </w:t>
      </w:r>
      <w:r>
        <w:t>Joint Research Centre</w:t>
      </w:r>
      <w:r w:rsidR="004C5B09">
        <w:t xml:space="preserve"> (JRC),</w:t>
      </w:r>
      <w:r w:rsidR="00006BE2">
        <w:t xml:space="preserve"> Evaluation of the livestock sector’s contribution to the EU greenhouse gas emissions, Final Report, 2010.</w:t>
      </w:r>
    </w:p>
  </w:footnote>
  <w:footnote w:id="6">
    <w:p w:rsidR="00716D60" w:rsidRDefault="00716D60">
      <w:pPr>
        <w:pStyle w:val="FootnoteText"/>
      </w:pPr>
      <w:r>
        <w:rPr>
          <w:rStyle w:val="FootnoteReference"/>
        </w:rPr>
        <w:footnoteRef/>
      </w:r>
      <w:r>
        <w:t xml:space="preserve"> Food and Agriculture Organisation, Animal Production and Health Division, Greenhouse Gas Emissions from the Dairy Sector, A life cycle assessment, 2010.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181"/>
    <w:rsid w:val="00006BE2"/>
    <w:rsid w:val="00096C81"/>
    <w:rsid w:val="000B051A"/>
    <w:rsid w:val="00123B26"/>
    <w:rsid w:val="0013175D"/>
    <w:rsid w:val="00177181"/>
    <w:rsid w:val="00232CBB"/>
    <w:rsid w:val="002777F8"/>
    <w:rsid w:val="002E3E15"/>
    <w:rsid w:val="004C5B09"/>
    <w:rsid w:val="00503CB8"/>
    <w:rsid w:val="00642813"/>
    <w:rsid w:val="006A45D3"/>
    <w:rsid w:val="00716D60"/>
    <w:rsid w:val="007545D9"/>
    <w:rsid w:val="00776EE9"/>
    <w:rsid w:val="007814B5"/>
    <w:rsid w:val="00872865"/>
    <w:rsid w:val="008F4BAB"/>
    <w:rsid w:val="00930471"/>
    <w:rsid w:val="00983D97"/>
    <w:rsid w:val="009D6001"/>
    <w:rsid w:val="009F0CD7"/>
    <w:rsid w:val="00B21087"/>
    <w:rsid w:val="00BC6975"/>
    <w:rsid w:val="00C76681"/>
    <w:rsid w:val="00CB0914"/>
    <w:rsid w:val="00CB7267"/>
    <w:rsid w:val="00D87BA1"/>
    <w:rsid w:val="00E236D6"/>
    <w:rsid w:val="00F320FF"/>
    <w:rsid w:val="00FF4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FEFC1011-5EA0-4685-BCC9-860E5698C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210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1087"/>
  </w:style>
  <w:style w:type="paragraph" w:styleId="Footer">
    <w:name w:val="footer"/>
    <w:basedOn w:val="Normal"/>
    <w:link w:val="FooterChar"/>
    <w:uiPriority w:val="99"/>
    <w:unhideWhenUsed/>
    <w:rsid w:val="00B210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1087"/>
  </w:style>
  <w:style w:type="paragraph" w:styleId="FootnoteText">
    <w:name w:val="footnote text"/>
    <w:basedOn w:val="Normal"/>
    <w:link w:val="FootnoteTextChar"/>
    <w:uiPriority w:val="99"/>
    <w:semiHidden/>
    <w:unhideWhenUsed/>
    <w:rsid w:val="00B2108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2108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21087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C76681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76681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76681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3D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3D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C599A-A680-475A-A9A6-1E443DDA1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645</Words>
  <Characters>3682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Eamon Farrell</dc:creator>
  <cp:keywords/>
  <dc:description/>
  <cp:lastModifiedBy>Eamon Farrell</cp:lastModifiedBy>
  <cp:revision>2</cp:revision>
  <cp:lastPrinted>2015-05-07T16:01:00Z</cp:lastPrinted>
  <dcterms:created xsi:type="dcterms:W3CDTF">2015-05-08T14:04:00Z</dcterms:created>
  <dcterms:modified xsi:type="dcterms:W3CDTF">2015-05-08T14:04:00Z</dcterms:modified>
</cp:coreProperties>
</file>